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Participation</w:t>
      </w:r>
    </w:p>
    <w:p>
      <w:pPr>
        <w:pStyle w:val="Subtitle"/>
      </w:pPr>
      <w:r>
        <w:t xml:space="preserve">The Minimal Generative Grammar of Participation | Complete website backup</w:t>
      </w:r>
    </w:p>
    <w:p>
      <w:pPr>
        <w:pStyle w:val="Date"/>
      </w:pPr>
      <w:r>
        <w:t xml:space="preserve">October 17, 2026</w:t>
      </w:r>
    </w:p>
    <w:p>
      <w:pPr>
        <w:pStyle w:val="Heading1"/>
      </w:pPr>
      <w:r>
        <w:t xml:space="preserve">Contents</w:t>
      </w:r>
    </w:p>
    <w:p>
      <w:pPr>
        <w:pStyle w:val="FirstParagraph"/>
      </w:pPr>
      <w:r>
        <w:t xml:space="preserve">How to use this backup</w:t>
      </w:r>
    </w:p>
    <w:p>
      <w:pPr>
        <w:pStyle w:val="BodyText"/>
      </w:pPr>
      <w:r>
        <w:t xml:space="preserve">Website article</w:t>
      </w:r>
    </w:p>
    <w:p>
      <w:pPr>
        <w:pStyle w:val="BodyText"/>
      </w:pPr>
      <w:r>
        <w:t xml:space="preserve">Interactive material — complete static record</w:t>
      </w:r>
    </w:p>
    <w:p>
      <w:pPr>
        <w:pStyle w:val="BodyText"/>
      </w:pPr>
      <w:r>
        <w:t xml:space="preserve">Appendix A — report.md</w:t>
      </w:r>
    </w:p>
    <w:p>
      <w:pPr>
        <w:pStyle w:val="BodyText"/>
      </w:pPr>
      <w:r>
        <w:t xml:space="preserve">Appendix B — formal-architecture.md</w:t>
      </w:r>
    </w:p>
    <w:p>
      <w:pPr>
        <w:pStyle w:val="BodyText"/>
      </w:pPr>
      <w:r>
        <w:t xml:space="preserve">Appendix C — ancient-patristic.md</w:t>
      </w:r>
    </w:p>
    <w:p>
      <w:pPr>
        <w:pStyle w:val="BodyText"/>
      </w:pPr>
      <w:r>
        <w:t xml:space="preserve">Appendix D — eastern-metaphysics.md</w:t>
      </w:r>
    </w:p>
    <w:p>
      <w:pPr>
        <w:pStyle w:val="BodyText"/>
      </w:pPr>
      <w:r>
        <w:t xml:space="preserve">Appendix E — latin-exemplarism.md</w:t>
      </w:r>
    </w:p>
    <w:p>
      <w:pPr>
        <w:pStyle w:val="BodyText"/>
      </w:pPr>
      <w:r>
        <w:t xml:space="preserve">Appendix F — aquinas-scotus-newman.md</w:t>
      </w:r>
    </w:p>
    <w:p>
      <w:pPr>
        <w:pStyle w:val="BodyText"/>
      </w:pPr>
      <w:r>
        <w:t xml:space="preserve">Appendix G — reading-guide.md</w:t>
      </w:r>
    </w:p>
    <w:p>
      <w:pPr>
        <w:pStyle w:val="Heading1"/>
      </w:pPr>
      <w:r>
        <w:t xml:space="preserve">How to use this backup</w:t>
      </w:r>
    </w:p>
    <w:p>
      <w:pPr>
        <w:pStyle w:val="FirstParagraph"/>
      </w:pPr>
      <w:r>
        <w:t xml:space="preserve">This document preserves the complete readable website article, all substantive interactive examples, and its project research files. It uses the revised terminology about divine action and agency. The website’s historical consultation limits and conditional claims are retained throughout.</w:t>
      </w:r>
    </w:p>
    <w:p>
      <w:pPr>
        <w:pStyle w:val="BodyText"/>
      </w:pPr>
      <w:r>
        <w:t xml:space="preserve">Original page: https:/​/​participation-​6o4.​pages.​dev/​</w:t>
      </w:r>
    </w:p>
    <w:p>
      <w:pPr>
        <w:pStyle w:val="BodyText"/>
      </w:pPr>
      <w:r>
        <w:t xml:space="preserve">Backup snapshot: October 17, 2026 (America/Los_Angeles). The interactive controls are represented by complete static explanations; this document can be read without the website.</w:t>
      </w:r>
    </w:p>
    <w:p>
      <w:pPr>
        <w:pStyle w:val="Heading1"/>
      </w:pPr>
      <w:r>
        <w:t xml:space="preserve">Website article</w:t>
      </w:r>
    </w:p>
    <w:p>
      <w:pPr>
        <w:pStyle w:val="FirstParagraph"/>
      </w:pPr>
      <w:r>
        <w:t xml:space="preserve">A CATHOLIC PHILOSOPHICAL ATLAS / THIRTEEN INVESTIGATIONS</w:t>
      </w:r>
    </w:p>
    <w:p>
      <w:pPr>
        <w:pStyle w:val="BodyText"/>
      </w:pPr>
      <w:r>
        <w:rPr>
          <w:b/>
          <w:bCs/>
        </w:rPr>
        <w:t xml:space="preserve">From God.Like God.Still other.</w:t>
      </w:r>
    </w:p>
    <w:p>
      <w:pPr>
        <w:pStyle w:val="BodyText"/>
      </w:pPr>
      <w:r>
        <w:t xml:space="preserve">Thirteen connected investigations into received reality, free action, truthful</w:t>
      </w:r>
      <w:r>
        <w:t xml:space="preserve"> </w:t>
      </w:r>
      <w:hyperlink r:id="rId20">
        <w:r>
          <w:rPr>
            <w:rStyle w:val="Hyperlink"/>
          </w:rPr>
          <w:t xml:space="preserve">disclosure</w:t>
        </w:r>
      </w:hyperlink>
      <w:r>
        <w:t xml:space="preserve">, and</w:t>
      </w:r>
      <w:r>
        <w:t xml:space="preserve"> </w:t>
      </w:r>
      <w:hyperlink r:id="rId21">
        <w:r>
          <w:rPr>
            <w:rStyle w:val="Hyperlink"/>
          </w:rPr>
          <w:t xml:space="preserve">communion</w:t>
        </w:r>
      </w:hyperlink>
      <w:r>
        <w:t xml:space="preserve">.</w:t>
      </w:r>
    </w:p>
    <w:p>
      <w:pPr>
        <w:pStyle w:val="BodyText"/>
      </w:pPr>
      <w:r>
        <w:t xml:space="preserve">Diagram: Arrows of dependence connect three finite expressions to an unreceived source. The source is not a part of the expressions. Positions are diagrammatic, not spatial claims about God.</w:t>
      </w:r>
    </w:p>
    <w:p>
      <w:pPr>
        <w:pStyle w:val="BodyText"/>
      </w:pPr>
      <w:r>
        <w:t xml:space="preserve">Dependence is not a spatial interval.</w:t>
      </w:r>
      <w:r>
        <w:br/>
      </w:r>
      <w:r>
        <w:t xml:space="preserve">Shared perfection is not shared substance.</w:t>
      </w:r>
    </w:p>
    <w:bookmarkStart w:id="69" w:name="Xf2584ac461420aa55df6825350466f4541c17ab"/>
    <w:p>
      <w:pPr>
        <w:pStyle w:val="Heading3"/>
      </w:pPr>
      <w:r>
        <w:t xml:space="preserve">Terms on this page</w:t>
      </w:r>
      <w:r>
        <w:t xml:space="preserve"> </w:t>
      </w:r>
      <w:r>
        <w:t xml:space="preserve">45 plain-English explanations</w:t>
      </w:r>
    </w:p>
    <w:p>
      <w:pPr>
        <w:pStyle w:val="FirstParagraph"/>
      </w:pPr>
      <w:r>
        <w:t xml:space="preserve">Open a definition here, or follow its name to the shared glossary for distinctions and related reading. A definition clarifies a claim; it does not establish its truth.</w:t>
      </w:r>
    </w:p>
    <w:p>
      <w:pPr>
        <w:pStyle w:val="DefinitionTerm"/>
      </w:pPr>
      <w:hyperlink r:id="rId22">
        <w:r>
          <w:rPr>
            <w:rStyle w:val="Hyperlink"/>
          </w:rPr>
          <w:t xml:space="preserve">Actuality</w:t>
        </w:r>
      </w:hyperlink>
    </w:p>
    <w:p>
      <w:pPr>
        <w:pStyle w:val="Definition"/>
      </w:pPr>
      <w:r>
        <w:t xml:space="preserve">What genuinely is or obtains, rather than what is merely possible or imagined. A person lives, an event occurs, and a relation holds in different ways; calling each actual does not make each a substance. In the formal model, actuality is represented through real possession of a specified content, not proved simply by using an existence symbol.</w:t>
      </w:r>
    </w:p>
    <w:p>
      <w:pPr>
        <w:pStyle w:val="DefinitionTerm"/>
      </w:pPr>
      <w:hyperlink r:id="rId23">
        <w:r>
          <w:rPr>
            <w:rStyle w:val="Hyperlink"/>
          </w:rPr>
          <w:t xml:space="preserve">Productive causation</w:t>
        </w:r>
      </w:hyperlink>
    </w:p>
    <w:p>
      <w:pPr>
        <w:pStyle w:val="Definition"/>
      </w:pPr>
      <w:r>
        <w:t xml:space="preserve">Bringing about or maintaining an actuality in another: treatment can produce recovery, and a cause may sustain an effect now. The project distinguishes this productive relation from being a constituent of the effect. It also states separately the bridge from causing an effect to that effect's ontological dependence, rather than hiding the bridge inside its notation.</w:t>
      </w:r>
    </w:p>
    <w:p>
      <w:pPr>
        <w:pStyle w:val="DefinitionTerm"/>
      </w:pPr>
      <w:hyperlink r:id="rId24">
        <w:r>
          <w:rPr>
            <w:rStyle w:val="Hyperlink"/>
          </w:rPr>
          <w:t xml:space="preserve">Ontological dependence</w:t>
        </w:r>
      </w:hyperlink>
    </w:p>
    <w:p>
      <w:pPr>
        <w:pStyle w:val="Definition"/>
      </w:pPr>
      <w:r>
        <w:t xml:space="preserve">Relying on another for being or actuality in a specified respect, rather than merely needing information about it or following it in time. A claim of dependence is incomplete until that respect and direction are stated. Dependence for a power does not itself deny the recipient's possession of the power or establish that someone else performs its exercise.</w:t>
      </w:r>
    </w:p>
    <w:p>
      <w:pPr>
        <w:pStyle w:val="DefinitionTerm"/>
      </w:pPr>
      <w:hyperlink r:id="rId25">
        <w:r>
          <w:rPr>
            <w:rStyle w:val="Hyperlink"/>
          </w:rPr>
          <w:t xml:space="preserve">Grounding</w:t>
        </w:r>
      </w:hyperlink>
    </w:p>
    <w:p>
      <w:pPr>
        <w:pStyle w:val="Definition"/>
      </w:pPr>
      <w:r>
        <w:t xml:space="preserve">An explanatory relation often expressed by saying that one fact obtains in virtue of another. It ordinarily concerns metaphysical priority rather than an earlier event producing a later one. The project distinguishes grounding from causation, constitution, evidence, and truthmaking. Claims about its direction, necessity, or ultimate termination need arguments rather than a shared arrow.</w:t>
      </w:r>
    </w:p>
    <w:p>
      <w:pPr>
        <w:pStyle w:val="DefinitionTerm"/>
      </w:pPr>
      <w:hyperlink r:id="rId26">
        <w:r>
          <w:rPr>
            <w:rStyle w:val="Hyperlink"/>
          </w:rPr>
          <w:t xml:space="preserve">Realization</w:t>
        </w:r>
      </w:hyperlink>
    </w:p>
    <w:p>
      <w:pPr>
        <w:pStyle w:val="Definition"/>
      </w:pPr>
      <w:r>
        <w:t xml:space="preserve">The actual condition in virtue of which a content or description is instantiated in a subject. Different descriptions may sometimes be supported by the same concrete reality without becoming synonyms. This possibility does not establish that all properties share one realizer, or that divine attributes are identical; each proposed identity still requires an argument.</w:t>
      </w:r>
    </w:p>
    <w:p>
      <w:pPr>
        <w:pStyle w:val="DefinitionTerm"/>
      </w:pPr>
      <w:hyperlink r:id="rId27">
        <w:r>
          <w:rPr>
            <w:rStyle w:val="Hyperlink"/>
          </w:rPr>
          <w:t xml:space="preserve">Constitution</w:t>
        </w:r>
      </w:hyperlink>
    </w:p>
    <w:p>
      <w:pPr>
        <w:pStyle w:val="Definition"/>
      </w:pPr>
      <w:r>
        <w:t xml:space="preserve">What makes up or internally contributes to a whole's actuality, as timber does to a table. A proper constituent is less than the whole it helps constitute. Composition concerns such constitutive plurality. Whether every proposed internal distinction has this role, and whether the whole depends on its constituents, require further arguments rather than following from the word distinct.</w:t>
      </w:r>
    </w:p>
    <w:p>
      <w:pPr>
        <w:pStyle w:val="DefinitionTerm"/>
      </w:pPr>
      <w:hyperlink r:id="rId28">
        <w:r>
          <w:rPr>
            <w:rStyle w:val="Hyperlink"/>
          </w:rPr>
          <w:t xml:space="preserve">Reception</w:t>
        </w:r>
      </w:hyperlink>
    </w:p>
    <w:p>
      <w:pPr>
        <w:pStyle w:val="Definition"/>
      </w:pPr>
      <w:r>
        <w:t xml:space="preserve">The possession of an actuality or perfection whose productive source is another. Reception need not be passive inactivity: receiving a real power can enable the recipient's own exercise. In this project reception is analyzed through causation and real possession; it does not already mean resemblance to the source, finite measure, free agency, or nonpartition.</w:t>
      </w:r>
    </w:p>
    <w:p>
      <w:pPr>
        <w:pStyle w:val="DefinitionTerm"/>
      </w:pPr>
      <w:hyperlink r:id="rId29">
        <w:r>
          <w:rPr>
            <w:rStyle w:val="Hyperlink"/>
          </w:rPr>
          <w:t xml:space="preserve">Participation</w:t>
        </w:r>
      </w:hyperlink>
    </w:p>
    <w:p>
      <w:pPr>
        <w:pStyle w:val="Definition"/>
      </w:pPr>
      <w:r>
        <w:t xml:space="preserve">Real, dependent possession of actuality or perfection according to the recipient's mode. The creature genuinely lives or understands rather than being an appearance of its source. Likeness, manifestation, the participant's own exercise, and fulfillment can extend this relation, but each needs its own bridge. Participation is therefore a connection across the project's analytical tools, not a word that proves all their conclusions.</w:t>
      </w:r>
    </w:p>
    <w:p>
      <w:pPr>
        <w:pStyle w:val="DefinitionTerm"/>
      </w:pPr>
      <w:hyperlink r:id="rId30">
        <w:r>
          <w:rPr>
            <w:rStyle w:val="Hyperlink"/>
          </w:rPr>
          <w:t xml:space="preserve">Underivation and sourcehood</w:t>
        </w:r>
      </w:hyperlink>
    </w:p>
    <w:p>
      <w:pPr>
        <w:pStyle w:val="Definition"/>
      </w:pPr>
      <w:r>
        <w:t xml:space="preserve">A source is an origin of the relevant actuality in another. Absolute underivation denies receiving or depending upon anything for the actuality by which the source is ultimate; aseity expresses divine being from no other. This is not self-production, infinity, or simplicity by definition. The Son's personal origin from the Father is a different theological relation from creaturely dependence.</w:t>
      </w:r>
    </w:p>
    <w:p>
      <w:pPr>
        <w:pStyle w:val="DefinitionTerm"/>
      </w:pPr>
      <w:hyperlink r:id="rId31">
        <w:r>
          <w:rPr>
            <w:rStyle w:val="Hyperlink"/>
          </w:rPr>
          <w:t xml:space="preserve">Measure or mode</w:t>
        </w:r>
      </w:hyperlink>
    </w:p>
    <w:p>
      <w:pPr>
        <w:pStyle w:val="Definition"/>
      </w:pPr>
      <w:r>
        <w:t xml:space="preserve">The way and capacity according to which a subject possesses a perfection. Seeing humanly and possessing divine knowledge need not be two quantities on one physical scale. In the formal model an ordering records bounded or unbounded actuality in a stated respect. A receiver's finite mode concerns that receiver; an independent argument is needed to limit the source.</w:t>
      </w:r>
    </w:p>
    <w:p>
      <w:pPr>
        <w:pStyle w:val="DefinitionTerm"/>
      </w:pPr>
      <w:hyperlink r:id="rId32">
        <w:r>
          <w:rPr>
            <w:rStyle w:val="Hyperlink"/>
          </w:rPr>
          <w:t xml:space="preserve">Causal adequacy</w:t>
        </w:r>
      </w:hyperlink>
    </w:p>
    <w:p>
      <w:pPr>
        <w:pStyle w:val="Definition"/>
      </w:pPr>
      <w:r>
        <w:t xml:space="preserve">The requirement that a proposed cause be sufficient in the relevant respect for the effect attributed to it. This does not mean that every cause resembles its effect or possesses the effect’s perfection in the same way. Inferring intrinsic understanding or goodness in a universal source requires a stronger, separately defended principle about source-perfection.</w:t>
      </w:r>
    </w:p>
    <w:p>
      <w:pPr>
        <w:pStyle w:val="DefinitionTerm"/>
      </w:pPr>
      <w:hyperlink r:id="rId33">
        <w:r>
          <w:rPr>
            <w:rStyle w:val="Hyperlink"/>
          </w:rPr>
          <w:t xml:space="preserve">Pure perfection</w:t>
        </w:r>
      </w:hyperlink>
    </w:p>
    <w:p>
      <w:pPr>
        <w:pStyle w:val="Definition"/>
      </w:pPr>
      <w:r>
        <w:t xml:space="preserve">A proposed positive excellence whose content does not as such include defect or receptive limitation, such as understanding considered apart from learning. Identifying such content is a philosophical task, not an automatic permission to transfer a whole creaturely description into God. Courage includes a response to danger, for example; its finite circumstances must not simply be attributed to the source.</w:t>
      </w:r>
    </w:p>
    <w:p>
      <w:pPr>
        <w:pStyle w:val="DefinitionTerm"/>
      </w:pPr>
      <w:hyperlink r:id="rId34">
        <w:r>
          <w:rPr>
            <w:rStyle w:val="Hyperlink"/>
          </w:rPr>
          <w:t xml:space="preserve">Nonpartition</w:t>
        </w:r>
      </w:hyperlink>
    </w:p>
    <w:p>
      <w:pPr>
        <w:pStyle w:val="Definition"/>
      </w:pPr>
      <w:r>
        <w:t xml:space="preserve">Communication in which a recipient's actuality is neither a portion of the source's substance nor an ingredient completing the source. This project derives the exclusions from additional source and constitution premises; they are not hidden inside participation. Showing that the source has no proper parts also differs from showing that it is no creature's constituent.</w:t>
      </w:r>
    </w:p>
    <w:p>
      <w:pPr>
        <w:pStyle w:val="DefinitionTerm"/>
      </w:pPr>
      <w:hyperlink r:id="rId35">
        <w:r>
          <w:rPr>
            <w:rStyle w:val="Hyperlink"/>
          </w:rPr>
          <w:t xml:space="preserve">Non-exhaustion</w:t>
        </w:r>
      </w:hyperlink>
    </w:p>
    <w:p>
      <w:pPr>
        <w:pStyle w:val="Definition"/>
      </w:pPr>
      <w:r>
        <w:t xml:space="preserve">A finite reception fails to match an unlimited source in the relevant perfection or capacity for actuality. The respect matters: unlimited actuality does not automatically prove every other infinity. Non-exhaustion does not make every finite proposition false or vague, and it does not establish that the effect could have failed to exist. A necessary finite emanation remains a countermodel.</w:t>
      </w:r>
    </w:p>
    <w:p>
      <w:pPr>
        <w:pStyle w:val="DefinitionTerm"/>
      </w:pPr>
      <w:hyperlink r:id="rId36">
        <w:r>
          <w:rPr>
            <w:rStyle w:val="Hyperlink"/>
          </w:rPr>
          <w:t xml:space="preserve">Common genus</w:t>
        </w:r>
      </w:hyperlink>
    </w:p>
    <w:p>
      <w:pPr>
        <w:pStyle w:val="Definition"/>
      </w:pPr>
      <w:r>
        <w:t xml:space="preserve">A common natural kind under which members are constituted as kinds of the same general reality, completed by differentiating principles. The project's no-genus argument depends on this substantive account of constitution. Merely sharing a logical predicate or an intelligible concept of being is weaker. Scotist univocity of a concept therefore cannot simply be dismissed as divine membership in a natural genus.</w:t>
      </w:r>
    </w:p>
    <w:p>
      <w:pPr>
        <w:pStyle w:val="DefinitionTerm"/>
      </w:pPr>
      <w:hyperlink r:id="rId37">
        <w:r>
          <w:rPr>
            <w:rStyle w:val="Hyperlink"/>
          </w:rPr>
          <w:t xml:space="preserve">Exemplarism and divine ideas</w:t>
        </w:r>
      </w:hyperlink>
    </w:p>
    <w:p>
      <w:pPr>
        <w:pStyle w:val="Definition"/>
      </w:pPr>
      <w:r>
        <w:t xml:space="preserve">An account of how created forms and possibilities are intelligible through their relation to divine knowledge as exemplar. Divine ideas are not independent Forms that instruct God from outside. Their content must also be distinguished from the free production of creatures: knowing an intelligible possibility is not yet choosing it, or making it actual.</w:t>
      </w:r>
    </w:p>
    <w:p>
      <w:pPr>
        <w:pStyle w:val="DefinitionTerm"/>
      </w:pPr>
      <w:hyperlink r:id="rId38">
        <w:r>
          <w:rPr>
            <w:rStyle w:val="Hyperlink"/>
          </w:rPr>
          <w:t xml:space="preserve">Logoi and rationes</w:t>
        </w:r>
      </w:hyperlink>
    </w:p>
    <w:p>
      <w:pPr>
        <w:pStyle w:val="Definition"/>
      </w:pPr>
      <w:r>
        <w:t xml:space="preserve">Greek logoi and Latin rationes can mean intelligible reasons, principles, or accounts. In the relevant Christian uses, they explain determinate creaturely intelligibility through the divine source rather than through detached Forms. Their meanings vary by author. Maximus's logoi in the Logos must not be equated without argument with Augustine's divine ideas or treated as parts making up God.</w:t>
      </w:r>
    </w:p>
    <w:p>
      <w:pPr>
        <w:pStyle w:val="DefinitionTerm"/>
      </w:pPr>
      <w:hyperlink r:id="rId39">
        <w:r>
          <w:rPr>
            <w:rStyle w:val="Hyperlink"/>
          </w:rPr>
          <w:t xml:space="preserve">Causal precontainment</w:t>
        </w:r>
      </w:hyperlink>
    </w:p>
    <w:p>
      <w:pPr>
        <w:pStyle w:val="Definition"/>
      </w:pPr>
      <w:r>
        <w:t xml:space="preserve">The claim that perfections realized in effects are present in their source in a causally adequate and source-appropriate way before or apart from their created realization. It does not picture little creatures or separate Forms stored inside God. A source's power to produce an effect and its actual possession of corresponding positive content remain distinguishable claims requiring an adequacy argument.</w:t>
      </w:r>
    </w:p>
    <w:p>
      <w:pPr>
        <w:pStyle w:val="DefinitionTerm"/>
      </w:pPr>
      <w:hyperlink r:id="rId40">
        <w:r>
          <w:rPr>
            <w:rStyle w:val="Hyperlink"/>
          </w:rPr>
          <w:t xml:space="preserve">Theophany</w:t>
        </w:r>
      </w:hyperlink>
    </w:p>
    <w:p>
      <w:pPr>
        <w:pStyle w:val="Definition"/>
      </w:pPr>
      <w:r>
        <w:t xml:space="preserve">A manifestation of God in or through a created appearance, effect, or transformed recipient. Eriugena emphasizes that receiving such disclosure can itself transform the creature. The term must distinguish the divine source from the created manifestation and does not make the creature a constituent of God.</w:t>
      </w:r>
    </w:p>
    <w:p>
      <w:pPr>
        <w:pStyle w:val="DefinitionTerm"/>
      </w:pPr>
      <w:hyperlink r:id="rId41">
        <w:r>
          <w:rPr>
            <w:rStyle w:val="Hyperlink"/>
          </w:rPr>
          <w:t xml:space="preserve">Epektasis</w:t>
        </w:r>
      </w:hyperlink>
    </w:p>
    <w:p>
      <w:pPr>
        <w:pStyle w:val="Definition"/>
      </w:pPr>
      <w:r>
        <w:t xml:space="preserve">A Greek term for continual reaching or stretching forward, especially associated with Gregory of Nyssa’s account of desire and growth toward the inexhaustible God. It helps articulate fulfillment without exhausting its source. Its particular application to the blessed must be argued alongside Catholic teaching on definitive beatitude.</w:t>
      </w:r>
    </w:p>
    <w:p>
      <w:pPr>
        <w:pStyle w:val="DefinitionTerm"/>
      </w:pPr>
      <w:hyperlink r:id="rId42">
        <w:r>
          <w:rPr>
            <w:rStyle w:val="Hyperlink"/>
          </w:rPr>
          <w:t xml:space="preserve">Procession and return</w:t>
        </w:r>
      </w:hyperlink>
    </w:p>
    <w:p>
      <w:pPr>
        <w:pStyle w:val="Definition"/>
      </w:pPr>
      <w:r>
        <w:t xml:space="preserve">A pattern in which effects originate from a source, remain dependent upon it, and attain fulfillment in relation to it. In participation metaphysics these are explanatory orders, not necessarily a temporal journey away from and back into God. Whether procession is free or necessary requires a modal argument. Creaturely return must also be distinguished from the revealed eternal processions of divine Persons.</w:t>
      </w:r>
    </w:p>
    <w:p>
      <w:pPr>
        <w:pStyle w:val="DefinitionTerm"/>
      </w:pPr>
      <w:hyperlink r:id="rId43">
        <w:r>
          <w:rPr>
            <w:rStyle w:val="Hyperlink"/>
          </w:rPr>
          <w:t xml:space="preserve">Secondary causality</w:t>
        </w:r>
      </w:hyperlink>
    </w:p>
    <w:p>
      <w:pPr>
        <w:pStyle w:val="Definition"/>
      </w:pPr>
      <w:r>
        <w:t xml:space="preserve">The real causal activity of creatures whose existence and powers depend on God. A fire genuinely heats and a person genuinely acts; dependence does not make either a mere appearance of divine action. Calling these causes secondary identifies their dependence, not their unreality or unimportance.</w:t>
      </w:r>
    </w:p>
    <w:p>
      <w:pPr>
        <w:pStyle w:val="DefinitionTerm"/>
      </w:pPr>
      <w:hyperlink r:id="rId44">
        <w:r>
          <w:rPr>
            <w:rStyle w:val="Hyperlink"/>
          </w:rPr>
          <w:t xml:space="preserve">Noncompetitive causality</w:t>
        </w:r>
      </w:hyperlink>
    </w:p>
    <w:p>
      <w:pPr>
        <w:pStyle w:val="Definition"/>
      </w:pPr>
      <w:r>
        <w:t xml:space="preserve">Causal explanations can concern different respects rather than divide a fixed share of activity between competing producers. God's sustaining a created power need not displace the creature's exercise of it. This compatibility does not supply a complete concurrence theory, prove every claimed secondary cause, or make manipulation by a finite agent harmless.</w:t>
      </w:r>
    </w:p>
    <w:p>
      <w:pPr>
        <w:pStyle w:val="DefinitionTerm"/>
      </w:pPr>
      <w:hyperlink r:id="rId45">
        <w:r>
          <w:rPr>
            <w:rStyle w:val="Hyperlink"/>
          </w:rPr>
          <w:t xml:space="preserve">Occasionalism</w:t>
        </w:r>
      </w:hyperlink>
    </w:p>
    <w:p>
      <w:pPr>
        <w:pStyle w:val="Definition"/>
      </w:pPr>
      <w:r>
        <w:t xml:space="preserve">The view that creatures do not genuinely produce effects: what we call their action instead provides the occasion for God’s action. This contrasts with real secondary causality. Merely allowing two descriptions of an event does not defeat occasionalism; the alternative must show how a created power contributes productively while remaining dependent on its divine source.</w:t>
      </w:r>
    </w:p>
    <w:p>
      <w:pPr>
        <w:pStyle w:val="DefinitionTerm"/>
      </w:pPr>
      <w:hyperlink r:id="rId46">
        <w:r>
          <w:rPr>
            <w:rStyle w:val="Hyperlink"/>
          </w:rPr>
          <w:t xml:space="preserve">Necessary emanation</w:t>
        </w:r>
      </w:hyperlink>
    </w:p>
    <w:p>
      <w:pPr>
        <w:pStyle w:val="Definition"/>
      </w:pPr>
      <w:r>
        <w:t xml:space="preserve">Production of an effect that follows necessarily from its source, without a genuine alternative in which that production does not occur. It is a countermodel to inferring free creation from fullness or inexhaustibility: an unlimited source could necessarily produce a limited effect. The project does not classify every historical use of procession or diffusion of goodness as necessary emanation.</w:t>
      </w:r>
    </w:p>
    <w:p>
      <w:pPr>
        <w:pStyle w:val="DefinitionTerm"/>
      </w:pPr>
      <w:hyperlink r:id="rId47">
        <w:r>
          <w:rPr>
            <w:rStyle w:val="Hyperlink"/>
          </w:rPr>
          <w:t xml:space="preserve">Possibility, necessity, and contingency</w:t>
        </w:r>
      </w:hyperlink>
    </w:p>
    <w:p>
      <w:pPr>
        <w:pStyle w:val="Definition"/>
      </w:pPr>
      <w:r>
        <w:t xml:space="preserve">Possibility concerns what could genuinely be; necessity concerns what could not fail to be; contingency concerns what is actual but could have been otherwise. Possible worlds label complete alternatives rather than places or times in God. A consistent description is not automatically metaphysically possible, and temporal change is not the same as an alternative to the actual outcome.</w:t>
      </w:r>
    </w:p>
    <w:p>
      <w:pPr>
        <w:pStyle w:val="DefinitionTerm"/>
      </w:pPr>
      <w:hyperlink r:id="rId48">
        <w:r>
          <w:rPr>
            <w:rStyle w:val="Hyperlink"/>
          </w:rPr>
          <w:t xml:space="preserve">Modal collapse</w:t>
        </w:r>
      </w:hyperlink>
    </w:p>
    <w:p>
      <w:pPr>
        <w:pStyle w:val="Definition"/>
      </w:pPr>
      <w:r>
        <w:t xml:space="preserve">A loss of genuine contingency when necessary divine reality is taken to entail each particular created outcome necessarily. An infallible intention's necessarily succeeding does not establish that having that intention is necessary. The difficult question concerns which creative intention occurs and why. Distinguishing those steps blocks one inference to collapse; a complete theory still needs a defended account of free specification.</w:t>
      </w:r>
    </w:p>
    <w:p>
      <w:pPr>
        <w:pStyle w:val="DefinitionTerm"/>
      </w:pPr>
      <w:hyperlink r:id="rId49">
        <w:r>
          <w:rPr>
            <w:rStyle w:val="Hyperlink"/>
          </w:rPr>
          <w:t xml:space="preserve">Intrinsic invariance</w:t>
        </w:r>
      </w:hyperlink>
    </w:p>
    <w:p>
      <w:pPr>
        <w:pStyle w:val="Definition"/>
      </w:pPr>
      <w:r>
        <w:t xml:space="preserve">The additional claim that the source's intrinsic actuality is identical across the different possible created outcomes under consideration. This is stronger than having no proper parts or never changing in time. A noncomposite source with different intrinsic intentions in different possible worlds is the rival. The project treats invariance as a disputed modal bridge, not a definition of simplicity.</w:t>
      </w:r>
    </w:p>
    <w:p>
      <w:pPr>
        <w:pStyle w:val="DefinitionTerm"/>
      </w:pPr>
      <w:hyperlink r:id="rId50">
        <w:r>
          <w:rPr>
            <w:rStyle w:val="Hyperlink"/>
          </w:rPr>
          <w:t xml:space="preserve">Primitive</w:t>
        </w:r>
      </w:hyperlink>
    </w:p>
    <w:p>
      <w:pPr>
        <w:pStyle w:val="Definition"/>
      </w:pPr>
      <w:r>
        <w:t xml:space="preserve">A notion or distinction treated as not reduced to other terms within the proposed explanatory system. Primitive does not mean chronologically first in learning, self-evident, or immune to criticism. A richer definition can conceal several commitments in one word, so the project tests information lost by reduction rather than counting words and declaring a uniquely smallest metaphysics.</w:t>
      </w:r>
    </w:p>
    <w:p>
      <w:pPr>
        <w:pStyle w:val="DefinitionTerm"/>
      </w:pPr>
      <w:hyperlink r:id="rId51">
        <w:r>
          <w:rPr>
            <w:rStyle w:val="Hyperlink"/>
          </w:rPr>
          <w:t xml:space="preserve">Bridge principle</w:t>
        </w:r>
      </w:hyperlink>
    </w:p>
    <w:p>
      <w:pPr>
        <w:pStyle w:val="Definition"/>
      </w:pPr>
      <w:r>
        <w:t xml:space="preserve">The premise licensing a move from one established claim to a stronger or different claim. Causation does not by itself establish likeness; received power does not by itself establish free agency. A bridge must be stated and defended in the relevant respect. Giving the move an attractive name or a formal symbol supplies no missing warrant.</w:t>
      </w:r>
    </w:p>
    <w:p>
      <w:pPr>
        <w:pStyle w:val="DefinitionTerm"/>
      </w:pPr>
      <w:hyperlink r:id="rId52">
        <w:r>
          <w:rPr>
            <w:rStyle w:val="Hyperlink"/>
          </w:rPr>
          <w:t xml:space="preserve">Deletion and countermodel tests</w:t>
        </w:r>
      </w:hyperlink>
    </w:p>
    <w:p>
      <w:pPr>
        <w:pStyle w:val="Definition"/>
      </w:pPr>
      <w:r>
        <w:t xml:space="preserve">A deletion test removes a proposed premise and asks which explanations are lost. An independence countermodel satisfies the remaining formal assumptions while denying that premise or its target conclusion. Such a model demonstrates a logical limitation relative to the specified interpretation; it does not automatically establish a philosophically coherent rival in every respect. Programmed dependency explorers track listed arguments, not every possible proof.</w:t>
      </w:r>
    </w:p>
    <w:p>
      <w:pPr>
        <w:pStyle w:val="DefinitionTerm"/>
      </w:pPr>
      <w:hyperlink r:id="rId53">
        <w:r>
          <w:rPr>
            <w:rStyle w:val="Hyperlink"/>
          </w:rPr>
          <w:t xml:space="preserve">Unity</w:t>
        </w:r>
      </w:hyperlink>
    </w:p>
    <w:p>
      <w:pPr>
        <w:pStyle w:val="Definition"/>
      </w:pPr>
      <w:r>
        <w:t xml:space="preserve">The way a reality counts as one rather than merely an assortment. A pile can be one collection, while an organism integrates processes within one life; calling both one does not explain either organization. A non-derivative unity is not made one by more basic constituents or coordination. Establishing it requires an argument about the relevant whole, not the mere assertion that it exists.</w:t>
      </w:r>
    </w:p>
    <w:p>
      <w:pPr>
        <w:pStyle w:val="DefinitionTerm"/>
      </w:pPr>
      <w:hyperlink r:id="rId54">
        <w:r>
          <w:rPr>
            <w:rStyle w:val="Hyperlink"/>
          </w:rPr>
          <w:t xml:space="preserve">Absolute idealism</w:t>
        </w:r>
      </w:hyperlink>
    </w:p>
    <w:p>
      <w:pPr>
        <w:pStyle w:val="Definition"/>
      </w:pPr>
      <w:r>
        <w:t xml:space="preserve">A family of metaphysical accounts treating reality as fundamentally intelligible within, or as the expression of, an ultimate spiritual or mental whole. Some identify finite realities with that absolute’s own development; the label does not require every such theory to do so identically. The project must examine constitutive identity, dependence, and divine completion rather than claim that its terminology alone refutes idealism.</w:t>
      </w:r>
    </w:p>
    <w:p>
      <w:pPr>
        <w:pStyle w:val="DefinitionTerm"/>
      </w:pPr>
      <w:hyperlink r:id="rId55">
        <w:r>
          <w:rPr>
            <w:rStyle w:val="Hyperlink"/>
          </w:rPr>
          <w:t xml:space="preserve">Analogia entis</w:t>
        </w:r>
      </w:hyperlink>
    </w:p>
    <w:p>
      <w:pPr>
        <w:pStyle w:val="Definition"/>
      </w:pPr>
      <w:r>
        <w:t xml:space="preserve">Analogy of being: created reality can truly resemble and disclose God while differing in its mode of being. In Przywara’s use, likeness remains within an ever-greater Creator–creature dissimilarity. The expression names a family of philosophical and theological accounts, not a single agreed formula. Its positive attributions still require arguments connecting finite expression with the source disclosed.</w:t>
      </w:r>
    </w:p>
    <w:p>
      <w:pPr>
        <w:pStyle w:val="DefinitionTerm"/>
      </w:pPr>
      <w:hyperlink r:id="rId56">
        <w:r>
          <w:rPr>
            <w:rStyle w:val="Hyperlink"/>
          </w:rPr>
          <w:t xml:space="preserve">Creation ex nihilo</w:t>
        </w:r>
      </w:hyperlink>
    </w:p>
    <w:p>
      <w:pPr>
        <w:pStyle w:val="Definition"/>
      </w:pPr>
      <w:r>
        <w:t xml:space="preserve">Creation without a pre-existing material out of which God makes the world. Nothing names no material cause, not a mysterious substance that becomes creation. God gives creatures their whole created existence without using divine substance as their material. This concerns ontological dependence; by itself it does not establish a temporal first instant of the universe.</w:t>
      </w:r>
    </w:p>
    <w:p>
      <w:pPr>
        <w:pStyle w:val="DefinitionTerm"/>
      </w:pPr>
      <w:hyperlink r:id="rId57">
        <w:r>
          <w:rPr>
            <w:rStyle w:val="Hyperlink"/>
          </w:rPr>
          <w:t xml:space="preserve">Deism</w:t>
        </w:r>
      </w:hyperlink>
    </w:p>
    <w:p>
      <w:pPr>
        <w:pStyle w:val="Definition"/>
      </w:pPr>
      <w:r>
        <w:t xml:space="preserve">Here, a model in which God originates the world but its subsequent actuality does not require God’s present sustaining causality. This contrasts with conservation and participation as the project defends them. Denying present sustenance is stronger than saying that ordinary events have created causes. Historical positions called deist vary, so the specific causal claim matters more than the label.</w:t>
      </w:r>
    </w:p>
    <w:p>
      <w:pPr>
        <w:pStyle w:val="DefinitionTerm"/>
      </w:pPr>
      <w:hyperlink r:id="rId58">
        <w:r>
          <w:rPr>
            <w:rStyle w:val="Hyperlink"/>
          </w:rPr>
          <w:t xml:space="preserve">Essence and existence</w:t>
        </w:r>
      </w:hyperlink>
    </w:p>
    <w:p>
      <w:pPr>
        <w:pStyle w:val="Definition"/>
      </w:pPr>
      <w:r>
        <w:t xml:space="preserve">Essence answers what something is; existence concerns its actually being. Distinguishing these concepts does not by itself prove that a creature contains really distinct metaphysical principles. In an account where essence receives existential actuality, an absolutely underived source cannot receive existence in that way. The simplicity conclusion therefore depends on the defended ontology of reception.</w:t>
      </w:r>
    </w:p>
    <w:p>
      <w:pPr>
        <w:pStyle w:val="DefinitionTerm"/>
      </w:pPr>
      <w:hyperlink r:id="rId59">
        <w:r>
          <w:rPr>
            <w:rStyle w:val="Hyperlink"/>
          </w:rPr>
          <w:t xml:space="preserve">Essence–energies distinction</w:t>
        </w:r>
      </w:hyperlink>
    </w:p>
    <w:p>
      <w:pPr>
        <w:pStyle w:val="Definition"/>
      </w:pPr>
      <w:r>
        <w:t xml:space="preserve">In the Palamite account, God’s incommunicable essence is distinguished from uncreated divine energies through which God is really communicated and participated. Energies are not created substitutes or detached divine pieces. The distinction’s relation to simplicity is disputed and cannot be settled by counting every real distinction as a part. The project treats it as a historical account requiring comparison.</w:t>
      </w:r>
    </w:p>
    <w:p>
      <w:pPr>
        <w:pStyle w:val="DefinitionTerm"/>
      </w:pPr>
      <w:hyperlink r:id="rId60">
        <w:r>
          <w:rPr>
            <w:rStyle w:val="Hyperlink"/>
          </w:rPr>
          <w:t xml:space="preserve">Formal distinction</w:t>
        </w:r>
      </w:hyperlink>
    </w:p>
    <w:p>
      <w:pPr>
        <w:pStyle w:val="Definition"/>
      </w:pPr>
      <w:r>
        <w:t xml:space="preserve">In Scotist usage, a distinction between intelligible aspects that have a basis in the thing before our thinking, without being separate things. Whether particular formalities introduce composition or dependence is disputed. Elsewhere, a difference of formal content may mean only different explanatory meanings; that broader usage must not automatically import the whole Scotist theory.</w:t>
      </w:r>
    </w:p>
    <w:p>
      <w:pPr>
        <w:pStyle w:val="DefinitionTerm"/>
      </w:pPr>
      <w:hyperlink r:id="rId61">
        <w:r>
          <w:rPr>
            <w:rStyle w:val="Hyperlink"/>
          </w:rPr>
          <w:t xml:space="preserve">Mixed relations</w:t>
        </w:r>
      </w:hyperlink>
    </w:p>
    <w:p>
      <w:pPr>
        <w:pStyle w:val="Definition"/>
      </w:pPr>
      <w:r>
        <w:t xml:space="preserve">In the Thomistic account, the creature’s dependence is a real relation in the creature, while God’s being Creator adds no corresponding relational accident to God. The divine relation is called a relation of reason grounded in the real effect. This does not make divine causing imaginary. That classification requires its relational ontology; asymmetric dependence alone does not establish it.</w:t>
      </w:r>
    </w:p>
    <w:p>
      <w:pPr>
        <w:pStyle w:val="DefinitionTerm"/>
      </w:pPr>
      <w:hyperlink r:id="rId62">
        <w:r>
          <w:rPr>
            <w:rStyle w:val="Hyperlink"/>
          </w:rPr>
          <w:t xml:space="preserve">Panentheism</w:t>
        </w:r>
      </w:hyperlink>
    </w:p>
    <w:p>
      <w:pPr>
        <w:pStyle w:val="Definition"/>
      </w:pPr>
      <w:r>
        <w:t xml:space="preserve">A varied family of claims that the world is in God while God exceeds it. Some make creatures constituents of divine reality; others use the language for divine presence without that conclusion. The project rejects constituent or completion accounts while requiring each proposal’s actual commitments to be stated. The label alone establishes neither identity with Catholic participation nor a single refutable thesis.</w:t>
      </w:r>
    </w:p>
    <w:p>
      <w:pPr>
        <w:pStyle w:val="DefinitionTerm"/>
      </w:pPr>
      <w:hyperlink r:id="rId63">
        <w:r>
          <w:rPr>
            <w:rStyle w:val="Hyperlink"/>
          </w:rPr>
          <w:t xml:space="preserve">Pantheism</w:t>
        </w:r>
      </w:hyperlink>
    </w:p>
    <w:p>
      <w:pPr>
        <w:pStyle w:val="Definition"/>
      </w:pPr>
      <w:r>
        <w:t xml:space="preserve">An account that identifies God and the world, or treats finite realities as modes of the one divine substance rather than genuinely other created beings. The project distinguishes these versions instead of assuming one argument refutes all of them. Universal causal dependence and intimate presence do not by themselves imply identity of substance.</w:t>
      </w:r>
    </w:p>
    <w:p>
      <w:pPr>
        <w:pStyle w:val="DefinitionTerm"/>
      </w:pPr>
      <w:hyperlink r:id="rId64">
        <w:r>
          <w:rPr>
            <w:rStyle w:val="Hyperlink"/>
          </w:rPr>
          <w:t xml:space="preserve">Platonism</w:t>
        </w:r>
      </w:hyperlink>
    </w:p>
    <w:p>
      <w:pPr>
        <w:pStyle w:val="Definition"/>
      </w:pPr>
      <w:r>
        <w:t xml:space="preserve">In the rival-ontology test, an account in which intelligible Forms exist independently of finite instances. Modern Platonism can instead concern causally inactive abstract objects; those positions are not interchangeable. The participation account does not require detached Forms to explain creaturely perfection. Showing that they are unnecessary for one explanation differs from demonstrating that no abstract entities exist.</w:t>
      </w:r>
    </w:p>
    <w:p>
      <w:pPr>
        <w:pStyle w:val="DefinitionTerm"/>
      </w:pPr>
      <w:hyperlink r:id="rId65">
        <w:r>
          <w:rPr>
            <w:rStyle w:val="Hyperlink"/>
          </w:rPr>
          <w:t xml:space="preserve">Univocity</w:t>
        </w:r>
      </w:hyperlink>
    </w:p>
    <w:p>
      <w:pPr>
        <w:pStyle w:val="Definition"/>
      </w:pPr>
      <w:r>
        <w:t xml:space="preserve">Using a concept with the same intelligible content across its applications. Scotus’s univocal concept of being does not by itself put God and creatures within one natural genus or give them an identical mode of existence. A claim about shared conceptual content differs from a claim about common constituting reality. Neither conceptual univocity nor analogy settles that metaphysical question by name.</w:t>
      </w:r>
    </w:p>
    <w:p>
      <w:pPr>
        <w:pStyle w:val="DefinitionTerm"/>
      </w:pPr>
      <w:hyperlink r:id="rId66">
        <w:r>
          <w:rPr>
            <w:rStyle w:val="Hyperlink"/>
          </w:rPr>
          <w:t xml:space="preserve">Vestige, image, and similitude</w:t>
        </w:r>
      </w:hyperlink>
    </w:p>
    <w:p>
      <w:pPr>
        <w:pStyle w:val="Definition"/>
      </w:pPr>
      <w:r>
        <w:t xml:space="preserve">Different grades or manners of likeness to God, especially in Bonaventure’s exemplarist account. A vestige is a created trace of its source; image has a more determinate role in rational life; graced similitude concerns restored or perfected conformity. These distinctions prevent every creaturely expression from being treated as the same kind of resemblance. Their exact applications depend on the author and passage.</w:t>
      </w:r>
    </w:p>
    <w:p>
      <w:pPr>
        <w:pStyle w:val="FirstParagraph"/>
      </w:pPr>
      <w:hyperlink r:id="rId67">
        <w:r>
          <w:rPr>
            <w:rStyle w:val="Hyperlink"/>
          </w:rPr>
          <w:t xml:space="preserve">Browse the complete glossary across both projects →</w:t>
        </w:r>
      </w:hyperlink>
    </w:p>
    <w:p>
      <w:pPr>
        <w:pStyle w:val="BodyText"/>
      </w:pPr>
      <w:r>
        <w:t xml:space="preserve">Look up another word</w:t>
      </w:r>
    </w:p>
    <w:p>
      <w:pPr>
        <w:pStyle w:val="BodyText"/>
      </w:pPr>
      <w:hyperlink r:id="rId68">
        <w:r>
          <w:rPr>
            <w:rStyle w:val="Hyperlink"/>
          </w:rPr>
          <w:t xml:space="preserve">Search this phrase across both projects →</w:t>
        </w:r>
      </w:hyperlink>
    </w:p>
    <w:bookmarkEnd w:id="69"/>
    <w:p>
      <w:pPr>
        <w:pStyle w:val="BodyText"/>
      </w:pPr>
      <w:r>
        <w:t xml:space="preserve">THE ATLAS / 13 INVESTIGATIONS</w:t>
      </w:r>
    </w:p>
    <w:bookmarkStart w:id="71" w:name="X45dd8da27851091f27d4adbe16956bd0558e63d"/>
    <w:p>
      <w:pPr>
        <w:pStyle w:val="Heading2"/>
      </w:pPr>
      <w:r>
        <w:t xml:space="preserve">Received reality.</w:t>
      </w:r>
      <w:r>
        <w:br/>
      </w:r>
      <w:r>
        <w:t xml:space="preserve">Responsible action.</w:t>
      </w:r>
      <w:r>
        <w:br/>
      </w:r>
      <w:r>
        <w:t xml:space="preserve">Communion.</w:t>
      </w:r>
    </w:p>
    <w:p>
      <w:pPr>
        <w:pStyle w:val="FirstParagraph"/>
      </w:pPr>
      <w:r>
        <w:t xml:space="preserve">One connected inquiry into reality, dependence, freedom, disclosure, and</w:t>
      </w:r>
      <w:r>
        <w:t xml:space="preserve"> </w:t>
      </w:r>
      <w:hyperlink r:id="rId70">
        <w:r>
          <w:rPr>
            <w:rStyle w:val="Hyperlink"/>
          </w:rPr>
          <w:t xml:space="preserve">fulfillment</w:t>
        </w:r>
      </w:hyperlink>
      <w:r>
        <w:t xml:space="preserve"> </w:t>
      </w:r>
      <w:r>
        <w:t xml:space="preserve">within Catholic thought.</w:t>
      </w:r>
    </w:p>
    <w:bookmarkEnd w:id="71"/>
    <w:p>
      <w:pPr>
        <w:pStyle w:val="BodyText"/>
      </w:pPr>
      <w:r>
        <w:t xml:space="preserve">A received life can genuinely be the creature’s life. These investigations ask how that life can be actual, known, freely exercised, healed, and fulfilled, while God remains neither constituted nor completed by creation. Philosophical arguments, historical evidence, and revealed commitments enter with their own warrants.</w:t>
      </w:r>
    </w:p>
    <w:bookmarkStart w:id="78" w:name="source-and-creation"/>
    <w:p>
      <w:pPr>
        <w:pStyle w:val="Heading3"/>
      </w:pPr>
      <w:r>
        <w:t xml:space="preserve">Source and creation</w:t>
      </w:r>
    </w:p>
    <w:p>
      <w:pPr>
        <w:pStyle w:val="FirstParagraph"/>
      </w:pPr>
      <w:hyperlink r:id="rId72">
        <w:r>
          <w:rPr>
            <w:rStyle w:val="Hyperlink"/>
          </w:rPr>
          <w:t xml:space="preserve">01 / INVESTIGATION</w:t>
        </w:r>
      </w:hyperlink>
    </w:p>
    <w:bookmarkStart w:id="74" w:name="participation"/>
    <w:p>
      <w:pPr>
        <w:pStyle w:val="Heading4"/>
      </w:pPr>
      <w:r>
        <w:t xml:space="preserve">Participation</w:t>
      </w:r>
    </w:p>
    <w:p>
      <w:pPr>
        <w:pStyle w:val="FirstParagraph"/>
      </w:pPr>
      <w:r>
        <w:t xml:space="preserve">From God, like God, genuinely other.</w:t>
      </w:r>
    </w:p>
    <w:p>
      <w:pPr>
        <w:pStyle w:val="BodyText"/>
      </w:pPr>
      <w:r>
        <w:t xml:space="preserve">How can received actuality genuinely belong to a creature? →</w:t>
      </w:r>
      <w:hyperlink r:id="rId73">
        <w:r>
          <w:rPr>
            <w:rStyle w:val="Hyperlink"/>
          </w:rPr>
          <w:t xml:space="preserve">02 / INVESTIGATION</w:t>
        </w:r>
      </w:hyperlink>
    </w:p>
    <w:bookmarkEnd w:id="74"/>
    <w:bookmarkStart w:id="76" w:name="beyond-participation"/>
    <w:p>
      <w:pPr>
        <w:pStyle w:val="Heading4"/>
      </w:pPr>
      <w:r>
        <w:t xml:space="preserve">Beyond Participation</w:t>
      </w:r>
    </w:p>
    <w:p>
      <w:pPr>
        <w:pStyle w:val="FirstParagraph"/>
      </w:pPr>
      <w:r>
        <w:t xml:space="preserve">Source, simplicity, and unreceived plenitude.</w:t>
      </w:r>
    </w:p>
    <w:p>
      <w:pPr>
        <w:pStyle w:val="BodyText"/>
      </w:pPr>
      <w:r>
        <w:t xml:space="preserve">What must be added to establish simplicity and positive fullness? →</w:t>
      </w:r>
      <w:hyperlink r:id="rId75">
        <w:r>
          <w:rPr>
            <w:rStyle w:val="Hyperlink"/>
          </w:rPr>
          <w:t xml:space="preserve">03 / INVESTIGATION</w:t>
        </w:r>
      </w:hyperlink>
    </w:p>
    <w:bookmarkEnd w:id="76"/>
    <w:bookmarkStart w:id="77" w:name="divine-agency"/>
    <w:p>
      <w:pPr>
        <w:pStyle w:val="Heading4"/>
      </w:pPr>
      <w:r>
        <w:t xml:space="preserve">Divine Agency</w:t>
      </w:r>
    </w:p>
    <w:p>
      <w:pPr>
        <w:pStyle w:val="FirstParagraph"/>
      </w:pPr>
      <w:r>
        <w:t xml:space="preserve">Freedom, knowledge, and creaturely action.</w:t>
      </w:r>
    </w:p>
    <w:p>
      <w:pPr>
        <w:pStyle w:val="BodyText"/>
      </w:pPr>
      <w:r>
        <w:t xml:space="preserve">How can God freely and knowingly cause this creation? →</w:t>
      </w:r>
    </w:p>
    <w:bookmarkEnd w:id="77"/>
    <w:bookmarkEnd w:id="78"/>
    <w:bookmarkStart w:id="85" w:name="the-philosophical-grammar"/>
    <w:p>
      <w:pPr>
        <w:pStyle w:val="Heading3"/>
      </w:pPr>
      <w:r>
        <w:t xml:space="preserve">The philosophical grammar</w:t>
      </w:r>
    </w:p>
    <w:p>
      <w:pPr>
        <w:pStyle w:val="FirstParagraph"/>
      </w:pPr>
      <w:hyperlink r:id="rId79">
        <w:r>
          <w:rPr>
            <w:rStyle w:val="Hyperlink"/>
          </w:rPr>
          <w:t xml:space="preserve">04 / INVESTIGATION</w:t>
        </w:r>
      </w:hyperlink>
    </w:p>
    <w:bookmarkStart w:id="81" w:name="reality-determination-and-relation"/>
    <w:p>
      <w:pPr>
        <w:pStyle w:val="Heading4"/>
      </w:pPr>
      <w:r>
        <w:t xml:space="preserve">Reality, Determination, and Relation</w:t>
      </w:r>
    </w:p>
    <w:p>
      <w:pPr>
        <w:pStyle w:val="FirstParagraph"/>
      </w:pPr>
      <w:r>
        <w:t xml:space="preserve">What is real, one, distinct, or constituted?</w:t>
      </w:r>
    </w:p>
    <w:p>
      <w:pPr>
        <w:pStyle w:val="BodyText"/>
      </w:pPr>
      <w:r>
        <w:t xml:space="preserve">What must differ in reality for a distinction to obtain? →</w:t>
      </w:r>
      <w:hyperlink r:id="rId80">
        <w:r>
          <w:rPr>
            <w:rStyle w:val="Hyperlink"/>
          </w:rPr>
          <w:t xml:space="preserve">05 / INVESTIGATION</w:t>
        </w:r>
      </w:hyperlink>
    </w:p>
    <w:bookmarkEnd w:id="81"/>
    <w:bookmarkStart w:id="83" w:name="manifestation-analogy-and-revelation"/>
    <w:p>
      <w:pPr>
        <w:pStyle w:val="Heading4"/>
      </w:pPr>
      <w:r>
        <w:t xml:space="preserve">Manifestation, Analogy, and Revelation</w:t>
      </w:r>
    </w:p>
    <w:p>
      <w:pPr>
        <w:pStyle w:val="FirstParagraph"/>
      </w:pPr>
      <w:r>
        <w:t xml:space="preserve">Truthful disclosure and the warrant for belief.</w:t>
      </w:r>
    </w:p>
    <w:p>
      <w:pPr>
        <w:pStyle w:val="BodyText"/>
      </w:pPr>
      <w:r>
        <w:t xml:space="preserve">What is disclosed, and what warrants recognizing revelation? →</w:t>
      </w:r>
      <w:hyperlink r:id="rId82">
        <w:r>
          <w:rPr>
            <w:rStyle w:val="Hyperlink"/>
          </w:rPr>
          <w:t xml:space="preserve">06 / INVESTIGATION</w:t>
        </w:r>
      </w:hyperlink>
    </w:p>
    <w:bookmarkEnd w:id="83"/>
    <w:bookmarkStart w:id="84" w:name="goodness-finality-and-fulfillment"/>
    <w:p>
      <w:pPr>
        <w:pStyle w:val="Heading4"/>
      </w:pPr>
      <w:r>
        <w:t xml:space="preserve">Goodness, Finality, and Fulfillment</w:t>
      </w:r>
    </w:p>
    <w:p>
      <w:pPr>
        <w:pStyle w:val="FirstParagraph"/>
      </w:pPr>
      <w:r>
        <w:t xml:space="preserve">Appropriate goods, finite conditions, and ends.</w:t>
      </w:r>
    </w:p>
    <w:p>
      <w:pPr>
        <w:pStyle w:val="BodyText"/>
      </w:pPr>
      <w:r>
        <w:t xml:space="preserve">What makes this good, and what would perfect its subject? →</w:t>
      </w:r>
    </w:p>
    <w:bookmarkEnd w:id="84"/>
    <w:bookmarkEnd w:id="85"/>
    <w:bookmarkStart w:id="100" w:name="revelation-and-created-life"/>
    <w:p>
      <w:pPr>
        <w:pStyle w:val="Heading3"/>
      </w:pPr>
      <w:r>
        <w:t xml:space="preserve">Revelation and created life</w:t>
      </w:r>
    </w:p>
    <w:p>
      <w:pPr>
        <w:pStyle w:val="FirstParagraph"/>
      </w:pPr>
      <w:hyperlink r:id="rId86">
        <w:r>
          <w:rPr>
            <w:rStyle w:val="Hyperlink"/>
          </w:rPr>
          <w:t xml:space="preserve">07 / INVESTIGATION</w:t>
        </w:r>
      </w:hyperlink>
    </w:p>
    <w:bookmarkStart w:id="88" w:name="trinity"/>
    <w:p>
      <w:pPr>
        <w:pStyle w:val="Heading4"/>
      </w:pPr>
      <w:r>
        <w:t xml:space="preserve">Trinity</w:t>
      </w:r>
    </w:p>
    <w:p>
      <w:pPr>
        <w:pStyle w:val="FirstParagraph"/>
      </w:pPr>
      <w:r>
        <w:t xml:space="preserve">Unity, origin, and personal communion.</w:t>
      </w:r>
    </w:p>
    <w:p>
      <w:pPr>
        <w:pStyle w:val="BodyText"/>
      </w:pPr>
      <w:r>
        <w:t xml:space="preserve">How can three really distinct Persons be one undivided God? →</w:t>
      </w:r>
      <w:hyperlink r:id="rId87">
        <w:r>
          <w:rPr>
            <w:rStyle w:val="Hyperlink"/>
          </w:rPr>
          <w:t xml:space="preserve">08 / INVESTIGATION</w:t>
        </w:r>
      </w:hyperlink>
    </w:p>
    <w:bookmarkEnd w:id="88"/>
    <w:bookmarkStart w:id="90" w:name="incarnation"/>
    <w:p>
      <w:pPr>
        <w:pStyle w:val="Heading4"/>
      </w:pPr>
      <w:r>
        <w:t xml:space="preserve">Incarnation</w:t>
      </w:r>
    </w:p>
    <w:p>
      <w:pPr>
        <w:pStyle w:val="FirstParagraph"/>
      </w:pPr>
      <w:r>
        <w:t xml:space="preserve">One Person, two natures, a truly human life.</w:t>
      </w:r>
    </w:p>
    <w:p>
      <w:pPr>
        <w:pStyle w:val="BodyText"/>
      </w:pPr>
      <w:r>
        <w:t xml:space="preserve">How can the eternal Son truly live and act humanly? →</w:t>
      </w:r>
      <w:hyperlink r:id="rId89">
        <w:r>
          <w:rPr>
            <w:rStyle w:val="Hyperlink"/>
          </w:rPr>
          <w:t xml:space="preserve">09 / INVESTIGATION</w:t>
        </w:r>
      </w:hyperlink>
    </w:p>
    <w:bookmarkEnd w:id="90"/>
    <w:bookmarkStart w:id="92" w:name="the-human-person"/>
    <w:p>
      <w:pPr>
        <w:pStyle w:val="Heading4"/>
      </w:pPr>
      <w:r>
        <w:t xml:space="preserve">The Human Person</w:t>
      </w:r>
    </w:p>
    <w:p>
      <w:pPr>
        <w:pStyle w:val="FirstParagraph"/>
      </w:pPr>
      <w:r>
        <w:t xml:space="preserve">Embodiment, freedom, dignity, and vocation.</w:t>
      </w:r>
    </w:p>
    <w:p>
      <w:pPr>
        <w:pStyle w:val="BodyText"/>
      </w:pPr>
      <w:r>
        <w:t xml:space="preserve">How can dependent, embodied persons be responsible agents? →</w:t>
      </w:r>
      <w:hyperlink r:id="rId91">
        <w:r>
          <w:rPr>
            <w:rStyle w:val="Hyperlink"/>
          </w:rPr>
          <w:t xml:space="preserve">10 / INVESTIGATION</w:t>
        </w:r>
      </w:hyperlink>
    </w:p>
    <w:bookmarkEnd w:id="92"/>
    <w:bookmarkStart w:id="94" w:name="grace-prayer-and-deification"/>
    <w:p>
      <w:pPr>
        <w:pStyle w:val="Heading4"/>
      </w:pPr>
      <w:r>
        <w:t xml:space="preserve">Grace, Prayer, and Deification</w:t>
      </w:r>
    </w:p>
    <w:p>
      <w:pPr>
        <w:pStyle w:val="FirstParagraph"/>
      </w:pPr>
      <w:r>
        <w:t xml:space="preserve">Gift, cooperation, the Rosary, and life with Mary.</w:t>
      </w:r>
    </w:p>
    <w:p>
      <w:pPr>
        <w:pStyle w:val="BodyText"/>
      </w:pPr>
      <w:r>
        <w:t xml:space="preserve">How does divine gift become the creature’s own life of prayer and love? →</w:t>
      </w:r>
      <w:hyperlink r:id="rId93">
        <w:r>
          <w:rPr>
            <w:rStyle w:val="Hyperlink"/>
          </w:rPr>
          <w:t xml:space="preserve">11 / INVESTIGATION</w:t>
        </w:r>
      </w:hyperlink>
    </w:p>
    <w:bookmarkEnd w:id="94"/>
    <w:bookmarkStart w:id="96" w:name="church-sacrament-and-liturgy"/>
    <w:p>
      <w:pPr>
        <w:pStyle w:val="Heading4"/>
      </w:pPr>
      <w:r>
        <w:t xml:space="preserve">Church, Sacrament, and Liturgy</w:t>
      </w:r>
    </w:p>
    <w:p>
      <w:pPr>
        <w:pStyle w:val="FirstParagraph"/>
      </w:pPr>
      <w:r>
        <w:t xml:space="preserve">Historical communion and efficacious created signs.</w:t>
      </w:r>
    </w:p>
    <w:p>
      <w:pPr>
        <w:pStyle w:val="BodyText"/>
      </w:pPr>
      <w:r>
        <w:t xml:space="preserve">How can material and communal acts mediate Christ’s saving activity? →</w:t>
      </w:r>
      <w:hyperlink r:id="rId95">
        <w:r>
          <w:rPr>
            <w:rStyle w:val="Hyperlink"/>
          </w:rPr>
          <w:t xml:space="preserve">12 / INVESTIGATION</w:t>
        </w:r>
      </w:hyperlink>
    </w:p>
    <w:bookmarkEnd w:id="96"/>
    <w:bookmarkStart w:id="98" w:name="providence-evil-and-history"/>
    <w:p>
      <w:pPr>
        <w:pStyle w:val="Heading4"/>
      </w:pPr>
      <w:r>
        <w:t xml:space="preserve">Providence, Evil, and History</w:t>
      </w:r>
    </w:p>
    <w:p>
      <w:pPr>
        <w:pStyle w:val="FirstParagraph"/>
      </w:pPr>
      <w:r>
        <w:t xml:space="preserve">Support, permission, suffering, prayer, and miracle.</w:t>
      </w:r>
    </w:p>
    <w:p>
      <w:pPr>
        <w:pStyle w:val="BodyText"/>
      </w:pPr>
      <w:r>
        <w:t xml:space="preserve">How can divine governance preserve creaturely agency and confront evil? →</w:t>
      </w:r>
      <w:hyperlink r:id="rId97">
        <w:r>
          <w:rPr>
            <w:rStyle w:val="Hyperlink"/>
          </w:rPr>
          <w:t xml:space="preserve">13 / INVESTIGATION</w:t>
        </w:r>
      </w:hyperlink>
    </w:p>
    <w:bookmarkEnd w:id="98"/>
    <w:bookmarkStart w:id="99" w:name="X24d46b8058fea7e3711127c21687c6fc260a96a"/>
    <w:p>
      <w:pPr>
        <w:pStyle w:val="Heading4"/>
      </w:pPr>
      <w:r>
        <w:t xml:space="preserve">Resurrection, Beatitude, and God All in All</w:t>
      </w:r>
    </w:p>
    <w:p>
      <w:pPr>
        <w:pStyle w:val="FirstParagraph"/>
      </w:pPr>
      <w:r>
        <w:t xml:space="preserve">Embodied identity and communion without absorption.</w:t>
      </w:r>
    </w:p>
    <w:p>
      <w:pPr>
        <w:pStyle w:val="BodyText"/>
      </w:pPr>
      <w:r>
        <w:t xml:space="preserve">What can finally fulfill creatures while they remain genuinely created? →</w:t>
      </w:r>
    </w:p>
    <w:bookmarkEnd w:id="99"/>
    <w:bookmarkEnd w:id="100"/>
    <w:bookmarkStart w:id="102" w:name="follow-an-argument"/>
    <w:p>
      <w:pPr>
        <w:pStyle w:val="Heading3"/>
      </w:pPr>
      <w:r>
        <w:t xml:space="preserve">Follow an argument</w:t>
      </w:r>
    </w:p>
    <w:p>
      <w:pPr>
        <w:pStyle w:val="FirstParagraph"/>
      </w:pPr>
      <w:hyperlink r:id="rId79">
        <w:r>
          <w:rPr>
            <w:rStyle w:val="Hyperlink"/>
          </w:rPr>
          <w:t xml:space="preserve">Reality and relation</w:t>
        </w:r>
      </w:hyperlink>
      <w:r>
        <w:t xml:space="preserve"> </w:t>
      </w:r>
      <w:r>
        <w:t xml:space="preserve">→</w:t>
      </w:r>
      <w:r>
        <w:t xml:space="preserve"> </w:t>
      </w:r>
      <w:hyperlink r:id="rId101">
        <w:r>
          <w:rPr>
            <w:rStyle w:val="Hyperlink"/>
          </w:rPr>
          <w:t xml:space="preserve">participation</w:t>
        </w:r>
      </w:hyperlink>
      <w:r>
        <w:t xml:space="preserve"> </w:t>
      </w:r>
      <w:r>
        <w:t xml:space="preserve">→</w:t>
      </w:r>
      <w:r>
        <w:t xml:space="preserve"> </w:t>
      </w:r>
      <w:hyperlink r:id="rId73">
        <w:r>
          <w:rPr>
            <w:rStyle w:val="Hyperlink"/>
          </w:rPr>
          <w:t xml:space="preserve">source and simplicity</w:t>
        </w:r>
      </w:hyperlink>
      <w:r>
        <w:t xml:space="preserve"> </w:t>
      </w:r>
      <w:r>
        <w:t xml:space="preserve">→</w:t>
      </w:r>
      <w:r>
        <w:t xml:space="preserve"> </w:t>
      </w:r>
      <w:hyperlink r:id="rId75">
        <w:r>
          <w:rPr>
            <w:rStyle w:val="Hyperlink"/>
          </w:rPr>
          <w:t xml:space="preserve">divine agency</w:t>
        </w:r>
      </w:hyperlink>
      <w:r>
        <w:t xml:space="preserve">. These links identify questions and resources, not an automatic deduction.</w:t>
      </w:r>
    </w:p>
    <w:bookmarkEnd w:id="102"/>
    <w:bookmarkStart w:id="105" w:name="enter-through-prayer"/>
    <w:p>
      <w:pPr>
        <w:pStyle w:val="Heading3"/>
      </w:pPr>
      <w:r>
        <w:t xml:space="preserve">Enter through prayer</w:t>
      </w:r>
    </w:p>
    <w:p>
      <w:pPr>
        <w:pStyle w:val="FirstParagraph"/>
      </w:pPr>
      <w:hyperlink r:id="rId103">
        <w:r>
          <w:rPr>
            <w:rStyle w:val="Hyperlink"/>
          </w:rPr>
          <w:t xml:space="preserve">The Rosary</w:t>
        </w:r>
      </w:hyperlink>
      <w:r>
        <w:t xml:space="preserve"> </w:t>
      </w:r>
      <w:r>
        <w:t xml:space="preserve">→</w:t>
      </w:r>
      <w:r>
        <w:t xml:space="preserve"> </w:t>
      </w:r>
      <w:hyperlink r:id="rId104">
        <w:r>
          <w:rPr>
            <w:rStyle w:val="Hyperlink"/>
          </w:rPr>
          <w:t xml:space="preserve">Christ and Mary</w:t>
        </w:r>
      </w:hyperlink>
      <w:r>
        <w:t xml:space="preserve"> </w:t>
      </w:r>
      <w:r>
        <w:t xml:space="preserve">→</w:t>
      </w:r>
      <w:r>
        <w:t xml:space="preserve"> </w:t>
      </w:r>
      <w:hyperlink r:id="rId93">
        <w:r>
          <w:rPr>
            <w:rStyle w:val="Hyperlink"/>
          </w:rPr>
          <w:t xml:space="preserve">liturgy and sacrament</w:t>
        </w:r>
      </w:hyperlink>
      <w:r>
        <w:t xml:space="preserve"> </w:t>
      </w:r>
      <w:r>
        <w:t xml:space="preserve">→</w:t>
      </w:r>
      <w:r>
        <w:t xml:space="preserve"> </w:t>
      </w:r>
      <w:hyperlink r:id="rId97">
        <w:r>
          <w:rPr>
            <w:rStyle w:val="Hyperlink"/>
          </w:rPr>
          <w:t xml:space="preserve">communion and hope</w:t>
        </w:r>
      </w:hyperlink>
      <w:r>
        <w:t xml:space="preserve">.</w:t>
      </w:r>
    </w:p>
    <w:bookmarkEnd w:id="105"/>
    <w:bookmarkStart w:id="108" w:name="test-a-difficult-claim"/>
    <w:p>
      <w:pPr>
        <w:pStyle w:val="Heading3"/>
      </w:pPr>
      <w:r>
        <w:t xml:space="preserve">Test a difficult claim</w:t>
      </w:r>
    </w:p>
    <w:p>
      <w:pPr>
        <w:pStyle w:val="FirstParagraph"/>
      </w:pPr>
      <w:hyperlink r:id="rId106">
        <w:r>
          <w:rPr>
            <w:rStyle w:val="Hyperlink"/>
          </w:rPr>
          <w:t xml:space="preserve">Miracle and testimony</w:t>
        </w:r>
      </w:hyperlink>
      <w:r>
        <w:t xml:space="preserve"> </w:t>
      </w:r>
      <w:r>
        <w:t xml:space="preserve">→</w:t>
      </w:r>
      <w:r>
        <w:t xml:space="preserve"> </w:t>
      </w:r>
      <w:hyperlink r:id="rId95">
        <w:r>
          <w:rPr>
            <w:rStyle w:val="Hyperlink"/>
          </w:rPr>
          <w:t xml:space="preserve">providence and suffering</w:t>
        </w:r>
      </w:hyperlink>
      <w:r>
        <w:t xml:space="preserve">. Occurrence, causality, divine attribution, and the</w:t>
      </w:r>
      <w:r>
        <w:t xml:space="preserve"> </w:t>
      </w:r>
      <w:hyperlink r:id="rId107">
        <w:r>
          <w:rPr>
            <w:rStyle w:val="Hyperlink"/>
          </w:rPr>
          <w:t xml:space="preserve">scope of attestation</w:t>
        </w:r>
      </w:hyperlink>
      <w:r>
        <w:t xml:space="preserve"> </w:t>
      </w:r>
      <w:r>
        <w:t xml:space="preserve">remain distinct judgments.</w:t>
      </w:r>
    </w:p>
    <w:bookmarkEnd w:id="108"/>
    <w:bookmarkStart w:id="160" w:name="X932b267c38872e664684af7cd6aaf69572f0f5f"/>
    <w:p>
      <w:pPr>
        <w:pStyle w:val="Heading3"/>
      </w:pPr>
      <w:r>
        <w:t xml:space="preserve">Find a question across all thirteen pages</w:t>
      </w:r>
    </w:p>
    <w:p>
      <w:pPr>
        <w:pStyle w:val="FirstParagraph"/>
      </w:pPr>
      <w:r>
        <w:t xml:space="preserve">Search the core questions</w:t>
      </w:r>
    </w:p>
    <w:p>
      <w:pPr>
        <w:pStyle w:val="BodyText"/>
      </w:pPr>
      <w:hyperlink r:id="rId68">
        <w:r>
          <w:rPr>
            <w:rStyle w:val="Hyperlink"/>
          </w:rPr>
          <w:t xml:space="preserve">Search this phrase across both projects →</w:t>
        </w:r>
      </w:hyperlink>
    </w:p>
    <w:p>
      <w:pPr>
        <w:pStyle w:val="BodyText"/>
      </w:pPr>
      <w:r>
        <w:t xml:space="preserve">39 of 39 questions</w:t>
      </w:r>
    </w:p>
    <w:p>
      <w:pPr>
        <w:pStyle w:val="Compact"/>
        <w:numPr>
          <w:ilvl w:val="0"/>
          <w:numId w:val="1001"/>
        </w:numPr>
      </w:pPr>
      <w:hyperlink r:id="rId29">
        <w:r>
          <w:rPr>
            <w:rStyle w:val="Hyperlink"/>
          </w:rPr>
          <w:t xml:space="preserve">Participation</w:t>
        </w:r>
      </w:hyperlink>
      <w:hyperlink r:id="rId109">
        <w:r>
          <w:rPr>
            <w:rStyle w:val="Hyperlink"/>
          </w:rPr>
          <w:t xml:space="preserve">How can a creature be genuinely from God without being a piece of God?</w:t>
        </w:r>
      </w:hyperlink>
    </w:p>
    <w:p>
      <w:pPr>
        <w:pStyle w:val="Compact"/>
        <w:numPr>
          <w:ilvl w:val="0"/>
          <w:numId w:val="1001"/>
        </w:numPr>
      </w:pPr>
      <w:r>
        <w:t xml:space="preserve">Participation</w:t>
      </w:r>
      <w:hyperlink r:id="rId110">
        <w:r>
          <w:rPr>
            <w:rStyle w:val="Hyperlink"/>
          </w:rPr>
          <w:t xml:space="preserve">If creatures are from God, in what sense can they genuinely be like God?</w:t>
        </w:r>
      </w:hyperlink>
    </w:p>
    <w:p>
      <w:pPr>
        <w:pStyle w:val="Compact"/>
        <w:numPr>
          <w:ilvl w:val="0"/>
          <w:numId w:val="1001"/>
        </w:numPr>
      </w:pPr>
      <w:r>
        <w:t xml:space="preserve">Participation</w:t>
      </w:r>
      <w:hyperlink r:id="rId111">
        <w:r>
          <w:rPr>
            <w:rStyle w:val="Hyperlink"/>
          </w:rPr>
          <w:t xml:space="preserve">How can a creature genuinely resemble God without sharing God's mode of being or a common genus?</w:t>
        </w:r>
      </w:hyperlink>
    </w:p>
    <w:p>
      <w:pPr>
        <w:pStyle w:val="Compact"/>
        <w:numPr>
          <w:ilvl w:val="0"/>
          <w:numId w:val="1001"/>
        </w:numPr>
      </w:pPr>
      <w:r>
        <w:t xml:space="preserve">Beyond Participation</w:t>
      </w:r>
      <w:hyperlink r:id="rId112">
        <w:r>
          <w:rPr>
            <w:rStyle w:val="Hyperlink"/>
          </w:rPr>
          <w:t xml:space="preserve">What follows from God's being underived, and does that establish divine simplicity?</w:t>
        </w:r>
      </w:hyperlink>
    </w:p>
    <w:p>
      <w:pPr>
        <w:pStyle w:val="Compact"/>
        <w:numPr>
          <w:ilvl w:val="0"/>
          <w:numId w:val="1001"/>
        </w:numPr>
      </w:pPr>
      <w:r>
        <w:t xml:space="preserve">Beyond Participation</w:t>
      </w:r>
      <w:hyperlink r:id="rId113">
        <w:r>
          <w:rPr>
            <w:rStyle w:val="Hyperlink"/>
          </w:rPr>
          <w:t xml:space="preserve">If God is complete and inexhaustible, why would creation be contingent rather than necessary?</w:t>
        </w:r>
      </w:hyperlink>
    </w:p>
    <w:p>
      <w:pPr>
        <w:pStyle w:val="Compact"/>
        <w:numPr>
          <w:ilvl w:val="0"/>
          <w:numId w:val="1001"/>
        </w:numPr>
      </w:pPr>
      <w:r>
        <w:t xml:space="preserve">Beyond Participation</w:t>
      </w:r>
      <w:hyperlink r:id="rId114">
        <w:r>
          <w:rPr>
            <w:rStyle w:val="Hyperlink"/>
          </w:rPr>
          <w:t xml:space="preserve">What makes possible alternatives a free intelligent act rather than random branching?</w:t>
        </w:r>
      </w:hyperlink>
    </w:p>
    <w:p>
      <w:pPr>
        <w:pStyle w:val="Compact"/>
        <w:numPr>
          <w:ilvl w:val="0"/>
          <w:numId w:val="1001"/>
        </w:numPr>
      </w:pPr>
      <w:r>
        <w:t xml:space="preserve">Divine</w:t>
      </w:r>
      <w:r>
        <w:t xml:space="preserve"> </w:t>
      </w:r>
      <w:hyperlink r:id="rId115">
        <w:r>
          <w:rPr>
            <w:rStyle w:val="Hyperlink"/>
          </w:rPr>
          <w:t xml:space="preserve">Agency</w:t>
        </w:r>
      </w:hyperlink>
      <w:hyperlink r:id="rId116">
        <w:r>
          <w:rPr>
            <w:rStyle w:val="Hyperlink"/>
          </w:rPr>
          <w:t xml:space="preserve">What makes this creation God's actual intention without creation adding an intrinsic determination to God?</w:t>
        </w:r>
      </w:hyperlink>
    </w:p>
    <w:p>
      <w:pPr>
        <w:pStyle w:val="Compact"/>
        <w:numPr>
          <w:ilvl w:val="0"/>
          <w:numId w:val="1001"/>
        </w:numPr>
      </w:pPr>
      <w:r>
        <w:t xml:space="preserve">Divine Agency</w:t>
      </w:r>
      <w:hyperlink r:id="rId117">
        <w:r>
          <w:rPr>
            <w:rStyle w:val="Hyperlink"/>
          </w:rPr>
          <w:t xml:space="preserve">How could God know what he actually wills and does without learning it from creation?</w:t>
        </w:r>
      </w:hyperlink>
    </w:p>
    <w:p>
      <w:pPr>
        <w:pStyle w:val="Compact"/>
        <w:numPr>
          <w:ilvl w:val="0"/>
          <w:numId w:val="1001"/>
        </w:numPr>
      </w:pPr>
      <w:r>
        <w:t xml:space="preserve">Divine Agency</w:t>
      </w:r>
      <w:hyperlink r:id="rId118">
        <w:r>
          <w:rPr>
            <w:rStyle w:val="Hyperlink"/>
          </w:rPr>
          <w:t xml:space="preserve">If creation supplies nothing God needs, why do finite creatures and their histories matter?</w:t>
        </w:r>
      </w:hyperlink>
    </w:p>
    <w:p>
      <w:pPr>
        <w:pStyle w:val="Compact"/>
        <w:numPr>
          <w:ilvl w:val="0"/>
          <w:numId w:val="1001"/>
        </w:numPr>
      </w:pPr>
      <w:r>
        <w:t xml:space="preserve">Reality,</w:t>
      </w:r>
      <w:r>
        <w:t xml:space="preserve"> </w:t>
      </w:r>
      <w:hyperlink r:id="rId119">
        <w:r>
          <w:rPr>
            <w:rStyle w:val="Hyperlink"/>
          </w:rPr>
          <w:t xml:space="preserve">Determination</w:t>
        </w:r>
      </w:hyperlink>
      <w:r>
        <w:t xml:space="preserve">, and Relation</w:t>
      </w:r>
      <w:hyperlink r:id="rId120">
        <w:r>
          <w:rPr>
            <w:rStyle w:val="Hyperlink"/>
          </w:rPr>
          <w:t xml:space="preserve">Does a real distinction always mean that something has parts?</w:t>
        </w:r>
      </w:hyperlink>
    </w:p>
    <w:p>
      <w:pPr>
        <w:pStyle w:val="Compact"/>
        <w:numPr>
          <w:ilvl w:val="0"/>
          <w:numId w:val="1001"/>
        </w:numPr>
      </w:pPr>
      <w:r>
        <w:t xml:space="preserve">Reality, Determination, and Relation</w:t>
      </w:r>
      <w:hyperlink r:id="rId121">
        <w:r>
          <w:rPr>
            <w:rStyle w:val="Hyperlink"/>
          </w:rPr>
          <w:t xml:space="preserve">Can one reality support different meanings without making them synonyms?</w:t>
        </w:r>
      </w:hyperlink>
    </w:p>
    <w:p>
      <w:pPr>
        <w:pStyle w:val="Compact"/>
        <w:numPr>
          <w:ilvl w:val="0"/>
          <w:numId w:val="1001"/>
        </w:numPr>
      </w:pPr>
      <w:r>
        <w:t xml:space="preserve">Reality, Determination, and Relation</w:t>
      </w:r>
      <w:hyperlink r:id="rId122">
        <w:r>
          <w:rPr>
            <w:rStyle w:val="Hyperlink"/>
          </w:rPr>
          <w:t xml:space="preserve">If my life and powers are received, in what sense are they really mine?</w:t>
        </w:r>
      </w:hyperlink>
    </w:p>
    <w:p>
      <w:pPr>
        <w:pStyle w:val="Compact"/>
        <w:numPr>
          <w:ilvl w:val="0"/>
          <w:numId w:val="1001"/>
        </w:numPr>
      </w:pPr>
      <w:hyperlink r:id="rId123">
        <w:r>
          <w:rPr>
            <w:rStyle w:val="Hyperlink"/>
          </w:rPr>
          <w:t xml:space="preserve">Manifestation</w:t>
        </w:r>
      </w:hyperlink>
      <w:r>
        <w:t xml:space="preserve">,</w:t>
      </w:r>
      <w:r>
        <w:t xml:space="preserve"> </w:t>
      </w:r>
      <w:hyperlink r:id="rId124">
        <w:r>
          <w:rPr>
            <w:rStyle w:val="Hyperlink"/>
          </w:rPr>
          <w:t xml:space="preserve">Analogy</w:t>
        </w:r>
      </w:hyperlink>
      <w:r>
        <w:t xml:space="preserve">, and</w:t>
      </w:r>
      <w:r>
        <w:t xml:space="preserve"> </w:t>
      </w:r>
      <w:hyperlink r:id="rId125">
        <w:r>
          <w:rPr>
            <w:rStyle w:val="Hyperlink"/>
          </w:rPr>
          <w:t xml:space="preserve">Revelation</w:t>
        </w:r>
      </w:hyperlink>
      <w:hyperlink r:id="rId126">
        <w:r>
          <w:rPr>
            <w:rStyle w:val="Hyperlink"/>
          </w:rPr>
          <w:t xml:space="preserve">Does everything that expresses God reveal a divine message?</w:t>
        </w:r>
      </w:hyperlink>
    </w:p>
    <w:p>
      <w:pPr>
        <w:pStyle w:val="Compact"/>
        <w:numPr>
          <w:ilvl w:val="0"/>
          <w:numId w:val="1001"/>
        </w:numPr>
      </w:pPr>
      <w:r>
        <w:t xml:space="preserve">Manifestation, Analogy, and Revelation</w:t>
      </w:r>
      <w:hyperlink r:id="rId127">
        <w:r>
          <w:rPr>
            <w:rStyle w:val="Hyperlink"/>
          </w:rPr>
          <w:t xml:space="preserve">Can a miracle provide evidence without proving an entire religion?</w:t>
        </w:r>
      </w:hyperlink>
    </w:p>
    <w:p>
      <w:pPr>
        <w:pStyle w:val="Compact"/>
        <w:numPr>
          <w:ilvl w:val="0"/>
          <w:numId w:val="1001"/>
        </w:numPr>
      </w:pPr>
      <w:r>
        <w:t xml:space="preserve">Manifestation, Analogy, and Revelation</w:t>
      </w:r>
      <w:hyperlink r:id="rId128">
        <w:r>
          <w:rPr>
            <w:rStyle w:val="Hyperlink"/>
          </w:rPr>
          <w:t xml:space="preserve">If God exceeds our concepts, can we still know something true?</w:t>
        </w:r>
      </w:hyperlink>
    </w:p>
    <w:p>
      <w:pPr>
        <w:pStyle w:val="Compact"/>
        <w:numPr>
          <w:ilvl w:val="0"/>
          <w:numId w:val="1001"/>
        </w:numPr>
      </w:pPr>
      <w:r>
        <w:t xml:space="preserve">Goodness,</w:t>
      </w:r>
      <w:r>
        <w:t xml:space="preserve"> </w:t>
      </w:r>
      <w:hyperlink r:id="rId129">
        <w:r>
          <w:rPr>
            <w:rStyle w:val="Hyperlink"/>
          </w:rPr>
          <w:t xml:space="preserve">Finality</w:t>
        </w:r>
      </w:hyperlink>
      <w:r>
        <w:t xml:space="preserve">, and Fulfillment</w:t>
      </w:r>
      <w:hyperlink r:id="rId130">
        <w:r>
          <w:rPr>
            <w:rStyle w:val="Hyperlink"/>
          </w:rPr>
          <w:t xml:space="preserve">Is everything finite simply less good than the same thing without limits?</w:t>
        </w:r>
      </w:hyperlink>
    </w:p>
    <w:p>
      <w:pPr>
        <w:pStyle w:val="Compact"/>
        <w:numPr>
          <w:ilvl w:val="0"/>
          <w:numId w:val="1001"/>
        </w:numPr>
      </w:pPr>
      <w:r>
        <w:t xml:space="preserve">Goodness, Finality, and Fulfillment</w:t>
      </w:r>
      <w:hyperlink r:id="rId131">
        <w:r>
          <w:rPr>
            <w:rStyle w:val="Hyperlink"/>
          </w:rPr>
          <w:t xml:space="preserve">If suffering can lead to growth, does that explain or justify it?</w:t>
        </w:r>
      </w:hyperlink>
    </w:p>
    <w:p>
      <w:pPr>
        <w:pStyle w:val="Compact"/>
        <w:numPr>
          <w:ilvl w:val="0"/>
          <w:numId w:val="1001"/>
        </w:numPr>
      </w:pPr>
      <w:r>
        <w:t xml:space="preserve">Goodness, Finality, and Fulfillment</w:t>
      </w:r>
      <w:hyperlink r:id="rId132">
        <w:r>
          <w:rPr>
            <w:rStyle w:val="Hyperlink"/>
          </w:rPr>
          <w:t xml:space="preserve">Why should fulfillment be communion rather than independence or absorption?</w:t>
        </w:r>
      </w:hyperlink>
    </w:p>
    <w:p>
      <w:pPr>
        <w:pStyle w:val="Compact"/>
        <w:numPr>
          <w:ilvl w:val="0"/>
          <w:numId w:val="1001"/>
        </w:numPr>
      </w:pPr>
      <w:hyperlink r:id="rId133">
        <w:r>
          <w:rPr>
            <w:rStyle w:val="Hyperlink"/>
          </w:rPr>
          <w:t xml:space="preserve">Trinity</w:t>
        </w:r>
      </w:hyperlink>
      <w:r>
        <w:t xml:space="preserve">:</w:t>
      </w:r>
      <w:r>
        <w:t xml:space="preserve"> </w:t>
      </w:r>
      <w:hyperlink r:id="rId53">
        <w:r>
          <w:rPr>
            <w:rStyle w:val="Hyperlink"/>
          </w:rPr>
          <w:t xml:space="preserve">Unity</w:t>
        </w:r>
      </w:hyperlink>
      <w:r>
        <w:t xml:space="preserve">, Origin, and Personal Communion</w:t>
      </w:r>
      <w:hyperlink r:id="rId134">
        <w:r>
          <w:rPr>
            <w:rStyle w:val="Hyperlink"/>
          </w:rPr>
          <w:t xml:space="preserve">Is saying that God is one and three simply a contradiction?</w:t>
        </w:r>
      </w:hyperlink>
    </w:p>
    <w:p>
      <w:pPr>
        <w:pStyle w:val="Compact"/>
        <w:numPr>
          <w:ilvl w:val="0"/>
          <w:numId w:val="1001"/>
        </w:numPr>
      </w:pPr>
      <w:r>
        <w:t xml:space="preserve">Trinity: Unity, Origin, and Personal Communion</w:t>
      </w:r>
      <w:hyperlink r:id="rId135">
        <w:r>
          <w:rPr>
            <w:rStyle w:val="Hyperlink"/>
          </w:rPr>
          <w:t xml:space="preserve">If the Son is from the Father, is the Son dependent and therefore less than God?</w:t>
        </w:r>
      </w:hyperlink>
    </w:p>
    <w:p>
      <w:pPr>
        <w:pStyle w:val="Compact"/>
        <w:numPr>
          <w:ilvl w:val="0"/>
          <w:numId w:val="1001"/>
        </w:numPr>
      </w:pPr>
      <w:r>
        <w:t xml:space="preserve">Trinity: Unity, Origin, and Personal Communion</w:t>
      </w:r>
      <w:hyperlink r:id="rId136">
        <w:r>
          <w:rPr>
            <w:rStyle w:val="Hyperlink"/>
          </w:rPr>
          <w:t xml:space="preserve">Does prayer to three Persons imply three divine minds or three competing wills?</w:t>
        </w:r>
      </w:hyperlink>
    </w:p>
    <w:p>
      <w:pPr>
        <w:pStyle w:val="Compact"/>
        <w:numPr>
          <w:ilvl w:val="0"/>
          <w:numId w:val="1001"/>
        </w:numPr>
      </w:pPr>
      <w:r>
        <w:t xml:space="preserve">Incarnation: One Person, Two Natures</w:t>
      </w:r>
      <w:hyperlink r:id="rId137">
        <w:r>
          <w:rPr>
            <w:rStyle w:val="Hyperlink"/>
          </w:rPr>
          <w:t xml:space="preserve">If Jesus is God, how can he hunger, learn, suffer, or die?</w:t>
        </w:r>
      </w:hyperlink>
    </w:p>
    <w:p>
      <w:pPr>
        <w:pStyle w:val="Compact"/>
        <w:numPr>
          <w:ilvl w:val="0"/>
          <w:numId w:val="1001"/>
        </w:numPr>
      </w:pPr>
      <w:r>
        <w:t xml:space="preserve">Incarnation: One Person, Two Natures</w:t>
      </w:r>
      <w:hyperlink r:id="rId138">
        <w:r>
          <w:rPr>
            <w:rStyle w:val="Hyperlink"/>
          </w:rPr>
          <w:t xml:space="preserve">Is Christ fully human if there is no additional human person alongside the Son?</w:t>
        </w:r>
      </w:hyperlink>
    </w:p>
    <w:p>
      <w:pPr>
        <w:pStyle w:val="Compact"/>
        <w:numPr>
          <w:ilvl w:val="0"/>
          <w:numId w:val="1001"/>
        </w:numPr>
      </w:pPr>
      <w:r>
        <w:t xml:space="preserve">Incarnation: One Person, Two Natures</w:t>
      </w:r>
      <w:hyperlink r:id="rId139">
        <w:r>
          <w:rPr>
            <w:rStyle w:val="Hyperlink"/>
          </w:rPr>
          <w:t xml:space="preserve">Does calling Mary Mother of God make her the origin of God or a rival to Christ?</w:t>
        </w:r>
      </w:hyperlink>
    </w:p>
    <w:p>
      <w:pPr>
        <w:pStyle w:val="Compact"/>
        <w:numPr>
          <w:ilvl w:val="0"/>
          <w:numId w:val="1001"/>
        </w:numPr>
      </w:pPr>
      <w:r>
        <w:t xml:space="preserve">The Human Person: Embodiment, Freedom, and Vocation</w:t>
      </w:r>
      <w:hyperlink r:id="rId140">
        <w:r>
          <w:rPr>
            <w:rStyle w:val="Hyperlink"/>
          </w:rPr>
          <w:t xml:space="preserve">Does belief in a soul mean that the real person is a ghost using a body?</w:t>
        </w:r>
      </w:hyperlink>
    </w:p>
    <w:p>
      <w:pPr>
        <w:pStyle w:val="Compact"/>
        <w:numPr>
          <w:ilvl w:val="0"/>
          <w:numId w:val="1001"/>
        </w:numPr>
      </w:pPr>
      <w:r>
        <w:t xml:space="preserve">The Human Person: Embodiment, Freedom, and Vocation</w:t>
      </w:r>
      <w:hyperlink r:id="rId141">
        <w:r>
          <w:rPr>
            <w:rStyle w:val="Hyperlink"/>
          </w:rPr>
          <w:t xml:space="preserve">If my powers depend on God and other people, how can my actions really be mine?</w:t>
        </w:r>
      </w:hyperlink>
    </w:p>
    <w:p>
      <w:pPr>
        <w:pStyle w:val="Compact"/>
        <w:numPr>
          <w:ilvl w:val="0"/>
          <w:numId w:val="1001"/>
        </w:numPr>
      </w:pPr>
      <w:r>
        <w:t xml:space="preserve">The Human Person: Embodiment, Freedom, and Vocation</w:t>
      </w:r>
      <w:hyperlink r:id="rId142">
        <w:r>
          <w:rPr>
            <w:rStyle w:val="Hyperlink"/>
          </w:rPr>
          <w:t xml:space="preserve">Does someone who cannot exercise reason or independence have less dignity?</w:t>
        </w:r>
      </w:hyperlink>
    </w:p>
    <w:p>
      <w:pPr>
        <w:pStyle w:val="Compact"/>
        <w:numPr>
          <w:ilvl w:val="0"/>
          <w:numId w:val="1001"/>
        </w:numPr>
      </w:pPr>
      <w:hyperlink r:id="rId143">
        <w:r>
          <w:rPr>
            <w:rStyle w:val="Hyperlink"/>
          </w:rPr>
          <w:t xml:space="preserve">Grace</w:t>
        </w:r>
      </w:hyperlink>
      <w:r>
        <w:t xml:space="preserve">, Prayer, and Deification</w:t>
      </w:r>
      <w:hyperlink r:id="rId144">
        <w:r>
          <w:rPr>
            <w:rStyle w:val="Hyperlink"/>
          </w:rPr>
          <w:t xml:space="preserve">If everything is grace, what is left for me to do?</w:t>
        </w:r>
      </w:hyperlink>
    </w:p>
    <w:p>
      <w:pPr>
        <w:pStyle w:val="Compact"/>
        <w:numPr>
          <w:ilvl w:val="0"/>
          <w:numId w:val="1001"/>
        </w:numPr>
      </w:pPr>
      <w:r>
        <w:t xml:space="preserve">Grace, Prayer, and Deification</w:t>
      </w:r>
      <w:hyperlink r:id="rId145">
        <w:r>
          <w:rPr>
            <w:rStyle w:val="Hyperlink"/>
          </w:rPr>
          <w:t xml:space="preserve">Why pray the Rosary or ask Mary’s intercession rather than speak directly to God?</w:t>
        </w:r>
      </w:hyperlink>
    </w:p>
    <w:p>
      <w:pPr>
        <w:pStyle w:val="Compact"/>
        <w:numPr>
          <w:ilvl w:val="0"/>
          <w:numId w:val="1001"/>
        </w:numPr>
      </w:pPr>
      <w:r>
        <w:t xml:space="preserve">Grace, Prayer, and Deification</w:t>
      </w:r>
      <w:hyperlink r:id="rId146">
        <w:r>
          <w:rPr>
            <w:rStyle w:val="Hyperlink"/>
          </w:rPr>
          <w:t xml:space="preserve">Does dryness or unanswered prayer mean that grace is absent?</w:t>
        </w:r>
      </w:hyperlink>
    </w:p>
    <w:p>
      <w:pPr>
        <w:pStyle w:val="Compact"/>
        <w:numPr>
          <w:ilvl w:val="0"/>
          <w:numId w:val="1001"/>
        </w:numPr>
      </w:pPr>
      <w:r>
        <w:t xml:space="preserve">Church,</w:t>
      </w:r>
      <w:r>
        <w:t xml:space="preserve"> </w:t>
      </w:r>
      <w:hyperlink r:id="rId147">
        <w:r>
          <w:rPr>
            <w:rStyle w:val="Hyperlink"/>
          </w:rPr>
          <w:t xml:space="preserve">Sacrament</w:t>
        </w:r>
      </w:hyperlink>
      <w:r>
        <w:t xml:space="preserve">, and</w:t>
      </w:r>
      <w:r>
        <w:t xml:space="preserve"> </w:t>
      </w:r>
      <w:hyperlink r:id="rId148">
        <w:r>
          <w:rPr>
            <w:rStyle w:val="Hyperlink"/>
          </w:rPr>
          <w:t xml:space="preserve">Liturgy</w:t>
        </w:r>
      </w:hyperlink>
      <w:hyperlink r:id="rId149">
        <w:r>
          <w:rPr>
            <w:rStyle w:val="Hyperlink"/>
          </w:rPr>
          <w:t xml:space="preserve">Why would God use a Church and sacraments if he can give grace directly?</w:t>
        </w:r>
      </w:hyperlink>
    </w:p>
    <w:p>
      <w:pPr>
        <w:pStyle w:val="Compact"/>
        <w:numPr>
          <w:ilvl w:val="0"/>
          <w:numId w:val="1001"/>
        </w:numPr>
      </w:pPr>
      <w:r>
        <w:t xml:space="preserve">Church, Sacrament, and Liturgy</w:t>
      </w:r>
      <w:hyperlink r:id="rId150">
        <w:r>
          <w:rPr>
            <w:rStyle w:val="Hyperlink"/>
          </w:rPr>
          <w:t xml:space="preserve">Does objective sacramental efficacy make sacraments a kind of magic?</w:t>
        </w:r>
      </w:hyperlink>
    </w:p>
    <w:p>
      <w:pPr>
        <w:pStyle w:val="Compact"/>
        <w:numPr>
          <w:ilvl w:val="0"/>
          <w:numId w:val="1001"/>
        </w:numPr>
      </w:pPr>
      <w:r>
        <w:t xml:space="preserve">Church, Sacrament, and Liturgy</w:t>
      </w:r>
      <w:hyperlink r:id="rId151">
        <w:r>
          <w:rPr>
            <w:rStyle w:val="Hyperlink"/>
          </w:rPr>
          <w:t xml:space="preserve">If the Eucharist looks unchanged, what warrants saying that Christ is present?</w:t>
        </w:r>
      </w:hyperlink>
    </w:p>
    <w:p>
      <w:pPr>
        <w:pStyle w:val="Compact"/>
        <w:numPr>
          <w:ilvl w:val="0"/>
          <w:numId w:val="1001"/>
        </w:numPr>
      </w:pPr>
      <w:hyperlink r:id="rId152">
        <w:r>
          <w:rPr>
            <w:rStyle w:val="Hyperlink"/>
          </w:rPr>
          <w:t xml:space="preserve">Providence</w:t>
        </w:r>
      </w:hyperlink>
      <w:r>
        <w:t xml:space="preserve">, Evil, and History</w:t>
      </w:r>
      <w:hyperlink r:id="rId153">
        <w:r>
          <w:rPr>
            <w:rStyle w:val="Hyperlink"/>
          </w:rPr>
          <w:t xml:space="preserve">If God sustains everything, does God cause the wrongdoing too?</w:t>
        </w:r>
      </w:hyperlink>
    </w:p>
    <w:p>
      <w:pPr>
        <w:pStyle w:val="Compact"/>
        <w:numPr>
          <w:ilvl w:val="0"/>
          <w:numId w:val="1001"/>
        </w:numPr>
      </w:pPr>
      <w:r>
        <w:t xml:space="preserve">Providence, Evil, and History</w:t>
      </w:r>
      <w:hyperlink r:id="rId154">
        <w:r>
          <w:rPr>
            <w:rStyle w:val="Hyperlink"/>
          </w:rPr>
          <w:t xml:space="preserve">Does prayer really change anything if God already knows and wills?</w:t>
        </w:r>
      </w:hyperlink>
    </w:p>
    <w:p>
      <w:pPr>
        <w:pStyle w:val="Compact"/>
        <w:numPr>
          <w:ilvl w:val="0"/>
          <w:numId w:val="1001"/>
        </w:numPr>
      </w:pPr>
      <w:r>
        <w:t xml:space="preserve">Providence, Evil, and History</w:t>
      </w:r>
      <w:hyperlink r:id="rId155">
        <w:r>
          <w:rPr>
            <w:rStyle w:val="Hyperlink"/>
          </w:rPr>
          <w:t xml:space="preserve">Why would God heal one person and leave another suffering?</w:t>
        </w:r>
      </w:hyperlink>
    </w:p>
    <w:p>
      <w:pPr>
        <w:pStyle w:val="Compact"/>
        <w:numPr>
          <w:ilvl w:val="0"/>
          <w:numId w:val="1001"/>
        </w:numPr>
      </w:pPr>
      <w:hyperlink r:id="rId156">
        <w:r>
          <w:rPr>
            <w:rStyle w:val="Hyperlink"/>
          </w:rPr>
          <w:t xml:space="preserve">Resurrection</w:t>
        </w:r>
      </w:hyperlink>
      <w:r>
        <w:t xml:space="preserve">, Beatitude, and God All in All</w:t>
      </w:r>
      <w:hyperlink r:id="rId157">
        <w:r>
          <w:rPr>
            <w:rStyle w:val="Hyperlink"/>
          </w:rPr>
          <w:t xml:space="preserve">Why would resurrection be me rather than a perfect copy of me?</w:t>
        </w:r>
      </w:hyperlink>
    </w:p>
    <w:p>
      <w:pPr>
        <w:pStyle w:val="Compact"/>
        <w:numPr>
          <w:ilvl w:val="0"/>
          <w:numId w:val="1001"/>
        </w:numPr>
      </w:pPr>
      <w:r>
        <w:t xml:space="preserve">Resurrection, Beatitude, and God All in All</w:t>
      </w:r>
      <w:hyperlink r:id="rId158">
        <w:r>
          <w:rPr>
            <w:rStyle w:val="Hyperlink"/>
          </w:rPr>
          <w:t xml:space="preserve">How could a finite mind see an infinite God without reducing God to something finite?</w:t>
        </w:r>
      </w:hyperlink>
    </w:p>
    <w:p>
      <w:pPr>
        <w:pStyle w:val="Compact"/>
        <w:numPr>
          <w:ilvl w:val="0"/>
          <w:numId w:val="1001"/>
        </w:numPr>
      </w:pPr>
      <w:r>
        <w:t xml:space="preserve">Resurrection, Beatitude, and God All in All</w:t>
      </w:r>
      <w:hyperlink r:id="rId159">
        <w:r>
          <w:rPr>
            <w:rStyle w:val="Hyperlink"/>
          </w:rPr>
          <w:t xml:space="preserve">Does God all in all mean that everything becomes God or that everyone must be saved?</w:t>
        </w:r>
      </w:hyperlink>
    </w:p>
    <w:p>
      <w:pPr>
        <w:pStyle w:val="FirstParagraph"/>
      </w:pPr>
      <w:r>
        <w:t xml:space="preserve">No matching question. Try another word or choose an investigation above.</w:t>
      </w:r>
    </w:p>
    <w:bookmarkEnd w:id="160"/>
    <w:p>
      <w:pPr>
        <w:pStyle w:val="BodyText"/>
      </w:pPr>
      <w:r>
        <w:t xml:space="preserve">The five working engines are analytical jobs, not five demonstrated metaphysical primitives. Each page gives a positive account, its indispensable bridge, a serious rival, and its remaining burden.</w:t>
      </w:r>
      <w:r>
        <w:t xml:space="preserve"> </w:t>
      </w:r>
      <w:hyperlink r:id="rId161">
        <w:r>
          <w:rPr>
            <w:rStyle w:val="Hyperlink"/>
          </w:rPr>
          <w:t xml:space="preserve">Read the source and warrant method →</w:t>
        </w:r>
      </w:hyperlink>
    </w:p>
    <w:p>
      <w:pPr>
        <w:pStyle w:val="BodyText"/>
      </w:pPr>
      <w:r>
        <w:t xml:space="preserve">For the related theological studies, visit</w:t>
      </w:r>
      <w:r>
        <w:t xml:space="preserve"> </w:t>
      </w:r>
      <w:hyperlink r:id="rId162">
        <w:r>
          <w:rPr>
            <w:rStyle w:val="Hyperlink"/>
          </w:rPr>
          <w:t xml:space="preserve">Robert Dryer: faith and understanding</w:t>
        </w:r>
      </w:hyperlink>
      <w:r>
        <w:t xml:space="preserve">. Philosophical arguments and received revelation meet there without becoming interchangeable.</w:t>
      </w:r>
    </w:p>
    <w:p>
      <w:pPr>
        <w:pStyle w:val="BodyText"/>
      </w:pPr>
      <w:hyperlink r:id="rId163">
        <w:r>
          <w:rPr>
            <w:rStyle w:val="Hyperlink"/>
          </w:rPr>
          <w:t xml:space="preserve">Continue with the original Participation investigation ↓</w:t>
        </w:r>
      </w:hyperlink>
    </w:p>
    <w:p>
      <w:pPr>
        <w:pStyle w:val="BodyText"/>
      </w:pPr>
      <w:r>
        <w:t xml:space="preserve">00 / WHAT THIS PAGE IS</w:t>
      </w:r>
    </w:p>
    <w:bookmarkStart w:id="164" w:name="Xf5df08ae54450661e1e5b1efab3be0044c38419"/>
    <w:p>
      <w:pPr>
        <w:pStyle w:val="Heading2"/>
      </w:pPr>
      <w:r>
        <w:t xml:space="preserve">A constructive reconstruction of participation metaphysics</w:t>
      </w:r>
    </w:p>
    <w:p>
      <w:pPr>
        <w:pStyle w:val="FirstParagraph"/>
      </w:pPr>
      <w:r>
        <w:t xml:space="preserve">This page asks a deliberately narrow question: what is the smallest honest metaphysical grammar needed to explain how a finite creature can be from God, genuinely like God, and yet remain genuinely other than God?</w:t>
      </w:r>
    </w:p>
    <w:bookmarkEnd w:id="164"/>
    <w:p>
      <w:pPr>
        <w:pStyle w:val="BodyText"/>
      </w:pPr>
      <w:r>
        <w:t xml:space="preserve">A creature can receive its life and genuinely live it. A power can be given and genuinely belong to the one who exercises it. Christian participation</w:t>
      </w:r>
      <w:r>
        <w:t xml:space="preserve"> </w:t>
      </w:r>
      <w:hyperlink r:id="rId165">
        <w:r>
          <w:rPr>
            <w:rStyle w:val="Hyperlink"/>
          </w:rPr>
          <w:t xml:space="preserve">metaphysics</w:t>
        </w:r>
      </w:hyperlink>
      <w:r>
        <w:t xml:space="preserve"> </w:t>
      </w:r>
      <w:r>
        <w:t xml:space="preserve">begins with that conjunction: real possession without independence. Created being, goodness, life, intelligibility, and power come from God, yet creatures are not pieces of God. Their</w:t>
      </w:r>
      <w:r>
        <w:t xml:space="preserve"> </w:t>
      </w:r>
      <w:hyperlink r:id="rId22">
        <w:r>
          <w:rPr>
            <w:rStyle w:val="Hyperlink"/>
          </w:rPr>
          <w:t xml:space="preserve">actuality</w:t>
        </w:r>
      </w:hyperlink>
      <w:r>
        <w:t xml:space="preserve"> </w:t>
      </w:r>
      <w:r>
        <w:t xml:space="preserve">is received according to their own modes; the divine source is neither divided among them nor completed by them.</w:t>
      </w:r>
    </w:p>
    <w:p>
      <w:pPr>
        <w:pStyle w:val="BodyText"/>
      </w:pPr>
      <w:r>
        <w:t xml:space="preserve">The problem is to explain this conjunction rather than repeat it. Participation, analogy, exemplarism, procession, likeness, and return often carry several claims together. This inquiry separates them: what makes a creature actual, what it depends upon, what it genuinely possesses, what it consists of, what it can express, and what would fulfill it. It then asks what warrants each passage. Participation is the connective relation, not a substitute for those arguments.</w:t>
      </w:r>
    </w:p>
    <w:p>
      <w:pPr>
        <w:pStyle w:val="BodyText"/>
      </w:pPr>
      <w:r>
        <w:t xml:space="preserve">The initial hypothesis was that actuality, received dependence, and</w:t>
      </w:r>
      <w:r>
        <w:t xml:space="preserve"> </w:t>
      </w:r>
      <w:hyperlink r:id="rId31">
        <w:r>
          <w:rPr>
            <w:rStyle w:val="Hyperlink"/>
          </w:rPr>
          <w:t xml:space="preserve">measure</w:t>
        </w:r>
      </w:hyperlink>
      <w:r>
        <w:t xml:space="preserve"> </w:t>
      </w:r>
      <w:r>
        <w:t xml:space="preserve">might be sufficient. The proposed reconstruction needs more. Dependence alone does not establish likeness.</w:t>
      </w:r>
      <w:r>
        <w:t xml:space="preserve"> </w:t>
      </w:r>
      <w:hyperlink r:id="rId30">
        <w:r>
          <w:rPr>
            <w:rStyle w:val="Hyperlink"/>
          </w:rPr>
          <w:t xml:space="preserve">Underivation</w:t>
        </w:r>
      </w:hyperlink>
      <w:r>
        <w:t xml:space="preserve"> </w:t>
      </w:r>
      <w:r>
        <w:t xml:space="preserve">excludes proper intrinsic constituents only when</w:t>
      </w:r>
      <w:r>
        <w:t xml:space="preserve"> </w:t>
      </w:r>
      <w:hyperlink r:id="rId166">
        <w:r>
          <w:rPr>
            <w:rStyle w:val="Hyperlink"/>
          </w:rPr>
          <w:t xml:space="preserve">composition</w:t>
        </w:r>
      </w:hyperlink>
      <w:r>
        <w:t xml:space="preserve"> </w:t>
      </w:r>
      <w:r>
        <w:t xml:space="preserve">entails dependence. A finite effect’s inability to exhaust an unlimited source does not establish that the source was free not to produce it. Identifying these missing bridges makes the account stronger: every conclusion receives its own reason rather than borrowing the force of another.</w:t>
      </w:r>
    </w:p>
    <w:p>
      <w:pPr>
        <w:pStyle w:val="BodyText"/>
      </w:pPr>
      <w:r>
        <w:t xml:space="preserve">The resulting grammar is “minimal” within its stated language and assumptions. Combining many axioms into one enormous axiom would shorten the list without shortening the argument. Each retained premise must contribute something the others do not supply. Removing a premise and testing rival models therefore play a central role. If likeness disappears when</w:t>
      </w:r>
      <w:r>
        <w:t xml:space="preserve"> </w:t>
      </w:r>
      <w:hyperlink r:id="rId32">
        <w:r>
          <w:rPr>
            <w:rStyle w:val="Hyperlink"/>
          </w:rPr>
          <w:t xml:space="preserve">causal adequacy</w:t>
        </w:r>
      </w:hyperlink>
      <w:r>
        <w:t xml:space="preserve"> </w:t>
      </w:r>
      <w:r>
        <w:t xml:space="preserve">is removed, causation was never enough to establish likeness. If noncomposition disappears when the principle connecting</w:t>
      </w:r>
      <w:r>
        <w:t xml:space="preserve"> </w:t>
      </w:r>
      <w:hyperlink r:id="rId27">
        <w:r>
          <w:rPr>
            <w:rStyle w:val="Hyperlink"/>
          </w:rPr>
          <w:t xml:space="preserve">constitution</w:t>
        </w:r>
      </w:hyperlink>
      <w:r>
        <w:t xml:space="preserve"> </w:t>
      </w:r>
      <w:r>
        <w:t xml:space="preserve">to dependence is removed, underivation was never secretly simplicity. If freedom disappears while</w:t>
      </w:r>
      <w:r>
        <w:t xml:space="preserve"> </w:t>
      </w:r>
      <w:hyperlink r:id="rId35">
        <w:r>
          <w:rPr>
            <w:rStyle w:val="Hyperlink"/>
          </w:rPr>
          <w:t xml:space="preserve">non-exhaustion</w:t>
        </w:r>
      </w:hyperlink>
      <w:r>
        <w:t xml:space="preserve"> </w:t>
      </w:r>
      <w:r>
        <w:t xml:space="preserve">remains, inexhaustibility was never secretly freedom.</w:t>
      </w:r>
    </w:p>
    <w:p>
      <w:pPr>
        <w:pStyle w:val="BodyText"/>
      </w:pPr>
      <w:r>
        <w:t xml:space="preserve">The historical tradition is used in the same disciplined way. Plato, Gregory of Nyssa, Augustine, Dionysius, Maximus, Eriugena, Anselm, Bonaventure, Aquinas, Scotus, Przywara, and others are not treated as teaching one identical hidden system. They offer overlapping solutions to recurring problems:</w:t>
      </w:r>
      <w:r>
        <w:t xml:space="preserve"> </w:t>
      </w:r>
      <w:hyperlink r:id="rId34">
        <w:r>
          <w:rPr>
            <w:rStyle w:val="Hyperlink"/>
          </w:rPr>
          <w:t xml:space="preserve">participation without partition</w:t>
        </w:r>
      </w:hyperlink>
      <w:r>
        <w:t xml:space="preserve">, likeness without identity, causal intimacy without constitution, transcendence without distance, manifestation without exhaustion, and dependence without rivalry. The constructive synthesis belongs to this project, even where its elements are deeply rooted in the tradition. Newman’s account of development is used only analogically, as a test of whether the synthesis preserves rather than reverses the tradition’s central achievements.</w:t>
      </w:r>
    </w:p>
    <w:p>
      <w:pPr>
        <w:pStyle w:val="BodyText"/>
      </w:pPr>
      <w:r>
        <w:t xml:space="preserve">As a Christian interpretation, the project preserves Creator–creature distinction, creation without divine material, divine sufficiency, real creaturely goodness, and real divine causality. Philosophy asks how these commitments can be articulated coherently and which arguments support them. Revelation supplies further determinations: ordinary participation in created being does not by itself establish grace, the Trinity, the Incarnation, or beatific communion.</w:t>
      </w:r>
    </w:p>
    <w:p>
      <w:pPr>
        <w:pStyle w:val="BodyText"/>
      </w:pPr>
      <w:r>
        <w:rPr>
          <w:b/>
          <w:bCs/>
        </w:rPr>
        <w:t xml:space="preserve">The methodological rule.</w:t>
      </w:r>
      <w:r>
        <w:t xml:space="preserve"> </w:t>
      </w:r>
      <w:r>
        <w:t xml:space="preserve">Keep the categories apart long enough to discover why they belong together.</w:t>
      </w:r>
    </w:p>
    <w:p>
      <w:pPr>
        <w:pStyle w:val="BodyText"/>
      </w:pPr>
      <w:r>
        <w:t xml:space="preserve">Given the stated source and causal principles, a finite being can genuinely possess received actuality and express its source according to its own mode, while the source remains undivided and uncompleted. Dependence explains the gift; it does not make the recipient’s life less real.</w:t>
      </w:r>
    </w:p>
    <w:p>
      <w:pPr>
        <w:pStyle w:val="BodyText"/>
      </w:pPr>
      <w:r>
        <w:t xml:space="preserve">The receiver’s measure measures the</w:t>
      </w:r>
      <w:r>
        <w:t xml:space="preserve"> </w:t>
      </w:r>
      <w:hyperlink r:id="rId28">
        <w:r>
          <w:rPr>
            <w:rStyle w:val="Hyperlink"/>
          </w:rPr>
          <w:t xml:space="preserve">reception</w:t>
        </w:r>
      </w:hyperlink>
      <w:r>
        <w:t xml:space="preserve">. It does not measure the source.</w:t>
      </w:r>
    </w:p>
    <w:bookmarkStart w:id="168" w:name="the-next-open-question"/>
    <w:p>
      <w:pPr>
        <w:pStyle w:val="Heading3"/>
      </w:pPr>
      <w:r>
        <w:t xml:space="preserve">The next open question</w:t>
      </w:r>
    </w:p>
    <w:p>
      <w:pPr>
        <w:pStyle w:val="FirstParagraph"/>
      </w:pPr>
      <w:r>
        <w:t xml:space="preserve">The next question concerns divine agency: how can God freely and knowingly create this world rather than another without acquiring an intrinsic determination? This reconstruction already excludes proper intrinsic constituents, given an underived source and the principle that a whole depends on such constituents. It does not establish every stronger account of</w:t>
      </w:r>
      <w:r>
        <w:t xml:space="preserve"> </w:t>
      </w:r>
      <w:hyperlink r:id="rId167">
        <w:r>
          <w:rPr>
            <w:rStyle w:val="Hyperlink"/>
          </w:rPr>
          <w:t xml:space="preserve">divine simplicity</w:t>
        </w:r>
      </w:hyperlink>
      <w:r>
        <w:t xml:space="preserve"> </w:t>
      </w:r>
      <w:r>
        <w:t xml:space="preserve">or explain free creative action. Further work must defend the relevant principles and explain how divine action has a determinate intention and how God knows it, without building freedom or knowledge into their definitions.</w:t>
      </w:r>
    </w:p>
    <w:bookmarkEnd w:id="168"/>
    <w:p>
      <w:pPr>
        <w:pStyle w:val="BodyText"/>
      </w:pPr>
      <w:r>
        <w:t xml:space="preserve">A constructive proposal with conditional derivations and provisional historical verification; not a proof of global minimality or a definition of doctrine.</w:t>
      </w:r>
    </w:p>
    <w:bookmarkStart w:id="169" w:name="how-to-read-this-page"/>
    <w:p>
      <w:pPr>
        <w:pStyle w:val="Heading3"/>
      </w:pPr>
      <w:r>
        <w:t xml:space="preserve">How to read this page</w:t>
      </w:r>
    </w:p>
    <w:p>
      <w:pPr>
        <w:pStyle w:val="FirstParagraph"/>
      </w:pPr>
      <w:r>
        <w:t xml:space="preserve">Begin with received possession and the positive meaning of finite measure. Then read the basis and derivations, and use the deletion lab to test each premise. The genealogy and source ledger distinguish historical resources from this project’s constructive proposals.</w:t>
      </w:r>
    </w:p>
    <w:bookmarkEnd w:id="169"/>
    <w:p>
      <w:pPr>
        <w:pStyle w:val="BodyText"/>
      </w:pPr>
      <w:r>
        <w:t xml:space="preserve">01 / THE VERDICT</w:t>
      </w:r>
    </w:p>
    <w:bookmarkStart w:id="170" w:name="X260d38e316c9849aa59a4251e1cc55898df2d8c"/>
    <w:p>
      <w:pPr>
        <w:pStyle w:val="Heading2"/>
      </w:pPr>
      <w:r>
        <w:t xml:space="preserve">A small grammar.</w:t>
      </w:r>
      <w:r>
        <w:br/>
      </w:r>
      <w:r>
        <w:t xml:space="preserve">A larger burden of proof.</w:t>
      </w:r>
    </w:p>
    <w:p>
      <w:pPr>
        <w:pStyle w:val="FirstParagraph"/>
      </w:pPr>
      <w:r>
        <w:t xml:space="preserve">Actuality, received dependence, and measure are not sufficient. They cannot establish likeness, exclude God as a constituent of creatures, or establish free creation without additional premises.</w:t>
      </w:r>
    </w:p>
    <w:bookmarkEnd w:id="170"/>
    <w:p>
      <w:pPr>
        <w:pStyle w:val="BodyText"/>
      </w:pPr>
      <w:r>
        <w:t xml:space="preserve">The smallest proposed result here is a</w:t>
      </w:r>
      <w:r>
        <w:t xml:space="preserve"> </w:t>
      </w:r>
      <w:r>
        <w:rPr>
          <w:i/>
          <w:iCs/>
        </w:rPr>
        <w:t xml:space="preserve">conditional, vocabulary-relative reconstruction</w:t>
      </w:r>
      <w:r>
        <w:t xml:space="preserve">—five basic groups of concepts, nine distinct assumptions, and stated additional premises where a conclusion requires them.</w:t>
      </w:r>
    </w:p>
    <w:p>
      <w:pPr>
        <w:pStyle w:val="BodyText"/>
      </w:pPr>
      <w:r>
        <w:t xml:space="preserve">01 / THE CAUSAL GAP</w:t>
      </w:r>
    </w:p>
    <w:bookmarkStart w:id="171" w:name="from-does-not-yet-mean-like."/>
    <w:p>
      <w:pPr>
        <w:pStyle w:val="Heading3"/>
      </w:pPr>
      <w:r>
        <w:t xml:space="preserve">From does not yet mean like.</w:t>
      </w:r>
    </w:p>
    <w:p>
      <w:pPr>
        <w:pStyle w:val="FirstParagraph"/>
      </w:pPr>
      <w:r>
        <w:t xml:space="preserve">Dependence does not entail corresponding perfection. A principle of causal adequacy must explain why an effect genuinely resembles its source.</w:t>
      </w:r>
    </w:p>
    <w:p>
      <w:pPr>
        <w:pStyle w:val="BodyText"/>
      </w:pPr>
      <w:r>
        <w:t xml:space="preserve">02 / THE CONSTITUTIVE GAP</w:t>
      </w:r>
    </w:p>
    <w:bookmarkEnd w:id="171"/>
    <w:bookmarkStart w:id="172" w:name="uncaused-does-not-yet-mean-partless."/>
    <w:p>
      <w:pPr>
        <w:pStyle w:val="Heading3"/>
      </w:pPr>
      <w:r>
        <w:t xml:space="preserve">Uncaused does not yet mean partless.</w:t>
      </w:r>
    </w:p>
    <w:p>
      <w:pPr>
        <w:pStyle w:val="FirstParagraph"/>
      </w:pPr>
      <w:r>
        <w:t xml:space="preserve">An underived source lacks composition only if a whole depends on its constituents. A simple source could still be a constituent of something else.</w:t>
      </w:r>
    </w:p>
    <w:p>
      <w:pPr>
        <w:pStyle w:val="BodyText"/>
      </w:pPr>
      <w:r>
        <w:t xml:space="preserve">03 / THE MODAL GAP</w:t>
      </w:r>
    </w:p>
    <w:bookmarkEnd w:id="172"/>
    <w:bookmarkStart w:id="173" w:name="inexhaustible-does-not-yet-mean-free."/>
    <w:p>
      <w:pPr>
        <w:pStyle w:val="Heading3"/>
      </w:pPr>
      <w:r>
        <w:t xml:space="preserve">Inexhaustible does not yet mean free.</w:t>
      </w:r>
    </w:p>
    <w:p>
      <w:pPr>
        <w:pStyle w:val="FirstParagraph"/>
      </w:pPr>
      <w:r>
        <w:t xml:space="preserve">No finite expression measures an unlimited source. That inequality does not produce another possible world.</w:t>
      </w:r>
    </w:p>
    <w:bookmarkEnd w:id="173"/>
    <w:p>
      <w:pPr>
        <w:pStyle w:val="BodyText"/>
      </w:pPr>
      <w:r>
        <w:rPr>
          <w:b/>
          <w:bCs/>
        </w:rPr>
        <w:t xml:space="preserve">What “minimal” means.</w:t>
      </w:r>
      <w:r>
        <w:t xml:space="preserve"> </w:t>
      </w:r>
      <w:r>
        <w:t xml:space="preserve">Relative irredundancy in an explicit language and interpretation. It is not a proof of the globally smallest possible metaphysics: conjunction can turn nine axioms into one, and richer predicates can conceal them in definitions. The accompanying formal dossier supplies witness assignments; it does not establish philosophical truth by computation.</w:t>
      </w:r>
    </w:p>
    <w:p>
      <w:pPr>
        <w:pStyle w:val="BodyText"/>
      </w:pPr>
      <w:r>
        <w:t xml:space="preserve">This is a substantive provisional synthesis. Selected primary texts and archived scholarship were consulted; the source ledger distinguishes them from unconsulted critical editions and specialist works. The historical survey is broad, but not fully source-verified.</w:t>
      </w:r>
    </w:p>
    <w:p>
      <w:pPr>
        <w:pStyle w:val="BodyText"/>
      </w:pPr>
      <w:r>
        <w:t xml:space="preserve">PARTICIPATION / THE CONNECTIVE RELATION</w:t>
      </w:r>
    </w:p>
    <w:bookmarkStart w:id="175" w:name="X69479be60f12318e084f36b3c5d0b055292fcee"/>
    <w:p>
      <w:pPr>
        <w:pStyle w:val="Heading2"/>
      </w:pPr>
      <w:r>
        <w:t xml:space="preserve">Received possession.</w:t>
      </w:r>
      <w:r>
        <w:br/>
      </w:r>
      <w:r>
        <w:t xml:space="preserve">Real creaturely life.</w:t>
      </w:r>
    </w:p>
    <w:p>
      <w:pPr>
        <w:pStyle w:val="FirstParagraph"/>
      </w:pPr>
      <w:r>
        <w:t xml:space="preserve">Participation connects</w:t>
      </w:r>
      <w:r>
        <w:t xml:space="preserve"> </w:t>
      </w:r>
      <w:hyperlink r:id="rId26">
        <w:r>
          <w:rPr>
            <w:rStyle w:val="Hyperlink"/>
          </w:rPr>
          <w:t xml:space="preserve">realization</w:t>
        </w:r>
      </w:hyperlink>
      <w:r>
        <w:t xml:space="preserve">, dependence, agency, manifestation, and fulfillment. Each connection needs its own</w:t>
      </w:r>
      <w:r>
        <w:t xml:space="preserve"> </w:t>
      </w:r>
      <w:hyperlink r:id="rId174">
        <w:r>
          <w:rPr>
            <w:rStyle w:val="Hyperlink"/>
          </w:rPr>
          <w:t xml:space="preserve">warrant</w:t>
        </w:r>
      </w:hyperlink>
      <w:r>
        <w:t xml:space="preserve">.</w:t>
      </w:r>
    </w:p>
    <w:bookmarkEnd w:id="175"/>
    <w:bookmarkStart w:id="176" w:name="Xa3e00fc19199bcce50dcca2843fc67b268668c2"/>
    <w:p>
      <w:pPr>
        <w:pStyle w:val="Heading3"/>
      </w:pPr>
      <w:r>
        <w:t xml:space="preserve">A received life is genuinely the creature’s life</w:t>
      </w:r>
    </w:p>
    <w:p>
      <w:pPr>
        <w:pStyle w:val="FirstParagraph"/>
      </w:pPr>
      <w:r>
        <w:t xml:space="preserve">Participation means real, dependent possession of received actuality or perfection according to the participant’s mode. Real possession matters as much as dependence: the creature actually lives, understands, and acts. What comes from a source is realized in the recipient; it is not merely a description of the source projected onto an otherwise empty appearance. Dependence concerns why the perfection obtains. Possession concerns where and how it obtains. These questions can have different answers without contradiction.</w:t>
      </w:r>
    </w:p>
    <w:p>
      <w:pPr>
        <w:pStyle w:val="BodyText"/>
      </w:pPr>
      <w:r>
        <w:t xml:space="preserve">Receiving a power does not yet amount to exercising it. To establish genuine creaturely action, add a further principle: some received powers are productive powers of the creature itself, whose exercise remains sustained by God. Divine causality and creaturely causality then explain one event in different respects. The creature’s dependence does not erase its authorship. An occasionalist rival denies this further principle, so real secondary agency must be defended rather than extracted from the word participation.</w:t>
      </w:r>
    </w:p>
    <w:bookmarkEnd w:id="176"/>
    <w:bookmarkStart w:id="177" w:name="X3b79179a33f2f61a6186aa4d4830b778f902a29"/>
    <w:p>
      <w:pPr>
        <w:pStyle w:val="Heading3"/>
      </w:pPr>
      <w:r>
        <w:t xml:space="preserve">Expression needs intelligible correspondence</w:t>
      </w:r>
    </w:p>
    <w:p>
      <w:pPr>
        <w:pStyle w:val="FirstParagraph"/>
      </w:pPr>
      <w:r>
        <w:t xml:space="preserve">An effect can disclose its source because the relation connects what is realized in the effect with something true of that source. Mere production does not establish every proposed attribution. A machine can print meaningful words without understanding them. An artisan can shape stone without being stone. An effect may therefore establish causal capacity while leaving intrinsic perfection, intention, or personal character undecided.</w:t>
      </w:r>
    </w:p>
    <w:p>
      <w:pPr>
        <w:pStyle w:val="BodyText"/>
      </w:pPr>
      <w:r>
        <w:t xml:space="preserve">The positive bridge proposed here is stronger: a genuine perfection in a derivative effect has an adequate ultimate source in which the corresponding positive content genuinely obtains, though not necessarily under the effect’s received mode. This is Q, the causal-adequacy principle. It requires an account of the positive content, not just the claim that the source can cause it. Exemplarism and the tradition of the</w:t>
      </w:r>
      <w:r>
        <w:t xml:space="preserve"> </w:t>
      </w:r>
      <w:hyperlink r:id="rId38">
        <w:r>
          <w:rPr>
            <w:rStyle w:val="Hyperlink"/>
          </w:rPr>
          <w:t xml:space="preserve">logoi</w:t>
        </w:r>
      </w:hyperlink>
      <w:r>
        <w:t xml:space="preserve"> </w:t>
      </w:r>
      <w:r>
        <w:t xml:space="preserve">offer historical accounts of this source-related intelligibility. Their exact metaphysical commitments still require comparison.</w:t>
      </w:r>
    </w:p>
    <w:p>
      <w:pPr>
        <w:pStyle w:val="BodyText"/>
      </w:pPr>
      <w:r>
        <w:t xml:space="preserve">Under Q, participation can become objective expression even when nobody recognizes it. Recognition is another achievement: knowledge requires a truth-conducive relation and warranted uptake. Thus causal origin, expressive likeness, and warranted knowledge remain distinct. This lets the account affirm genuine manifestation while identifying exactly what a finite effect permits us to say.</w:t>
      </w:r>
    </w:p>
    <w:bookmarkEnd w:id="177"/>
    <w:bookmarkStart w:id="180" w:name="Xdfc8e9b12f2385346fd26d8ecefe382095e3b14"/>
    <w:p>
      <w:pPr>
        <w:pStyle w:val="Heading3"/>
      </w:pPr>
      <w:r>
        <w:t xml:space="preserve">Finite measure can help constitute a good</w:t>
      </w:r>
    </w:p>
    <w:p>
      <w:pPr>
        <w:pStyle w:val="FirstParagraph"/>
      </w:pPr>
      <w:r>
        <w:t xml:space="preserve">Finite reception does not exhaust an unlimited source. Yet finitude is not a single defect to be removed from every creaturely good. Three cases matter. A</w:t>
      </w:r>
      <w:r>
        <w:t xml:space="preserve"> </w:t>
      </w:r>
      <w:hyperlink r:id="rId178">
        <w:r>
          <w:rPr>
            <w:rStyle w:val="Hyperlink"/>
          </w:rPr>
          <w:t xml:space="preserve">privation</w:t>
        </w:r>
      </w:hyperlink>
      <w:r>
        <w:t xml:space="preserve">, such as ignorance, impedes an appropriate good. A constitutive finite condition helps make a particular good what it is: a melody needs succession, and a promise needs a history in which fidelity can be enacted. Removing distortion can improve the same melody; sounding every note at once abolishes it.</w:t>
      </w:r>
    </w:p>
    <w:p>
      <w:pPr>
        <w:pStyle w:val="BodyText"/>
      </w:pPr>
      <w:r>
        <w:t xml:space="preserve">An adverse occasion is different again. Courage can be good in danger, and forgiveness can be good after injury. The goodness of the response neither makes the threat or injury good nor justifies causing it. A theory of fulfillment must preserve the response’s positive actuality while refusing to manufacture a</w:t>
      </w:r>
      <w:r>
        <w:t xml:space="preserve"> </w:t>
      </w:r>
      <w:hyperlink r:id="rId179">
        <w:r>
          <w:rPr>
            <w:rStyle w:val="Hyperlink"/>
          </w:rPr>
          <w:t xml:space="preserve">justification</w:t>
        </w:r>
      </w:hyperlink>
      <w:r>
        <w:t xml:space="preserve"> </w:t>
      </w:r>
      <w:r>
        <w:t xml:space="preserve">of evil from it.</w:t>
      </w:r>
    </w:p>
    <w:p>
      <w:pPr>
        <w:pStyle w:val="BodyText"/>
      </w:pPr>
      <w:r>
        <w:t xml:space="preserve">God can ground the positive reality of learning without learning, and the good of courage without undergoing danger. The entire finite description need not be transferred to its source. Likewise, finite knowledge need not be false or vague. A finite proposition can state something exactly true without reproducing the whole actuality of its object. The measure comparison in this model concerns finite reception of actuality; it is not a proof that every finite statement is inadequate.</w:t>
      </w:r>
    </w:p>
    <w:bookmarkEnd w:id="180"/>
    <w:bookmarkStart w:id="183" w:name="fulfillment-preserves-the-participant"/>
    <w:p>
      <w:pPr>
        <w:pStyle w:val="Heading3"/>
      </w:pPr>
      <w:r>
        <w:t xml:space="preserve">Fulfillment preserves the participant</w:t>
      </w:r>
    </w:p>
    <w:p>
      <w:pPr>
        <w:pStyle w:val="FirstParagraph"/>
      </w:pPr>
      <w:r>
        <w:t xml:space="preserve">Origin answers why a participant is; fulfillment asks what would perfect it. The second question requires an account of the subject’s good. Participation becomes ordered toward fulfillment when received powers can attain fitting ends, rather than merely continue to exist. Knowledge, fidelity, friendship, and love can then be real creaturely achievements. Their dependence on God does not relocate their history inside God or make them stages in divine self-completion.</w:t>
      </w:r>
    </w:p>
    <w:p>
      <w:pPr>
        <w:pStyle w:val="BodyText"/>
      </w:pPr>
      <w:r>
        <w:t xml:space="preserve">Communion adds more than resemblance or causal contact: distinct persons know and love one another. Its reality requires their difference to endure. The Christian account of grace and</w:t>
      </w:r>
      <w:r>
        <w:t xml:space="preserve"> </w:t>
      </w:r>
      <w:hyperlink r:id="rId181">
        <w:r>
          <w:rPr>
            <w:rStyle w:val="Hyperlink"/>
          </w:rPr>
          <w:t xml:space="preserve">beatific vision</w:t>
        </w:r>
      </w:hyperlink>
      <w:r>
        <w:t xml:space="preserve"> </w:t>
      </w:r>
      <w:r>
        <w:t xml:space="preserve">therefore extends the natural grammar with revealed commitments. It promises God himself, not merely a created substitute, while preserving the creature’s finite act of reception. Finite measure need not mean distance, and immediacy need not mean exhaustive</w:t>
      </w:r>
      <w:r>
        <w:t xml:space="preserve"> </w:t>
      </w:r>
      <w:hyperlink r:id="rId182">
        <w:r>
          <w:rPr>
            <w:rStyle w:val="Hyperlink"/>
          </w:rPr>
          <w:t xml:space="preserve">comprehension</w:t>
        </w:r>
      </w:hyperlink>
      <w:r>
        <w:t xml:space="preserve">. Return is the participant’s fulfillment without absorption into its source.</w:t>
      </w:r>
    </w:p>
    <w:bookmarkEnd w:id="183"/>
    <w:p>
      <w:pPr>
        <w:pStyle w:val="BodyText"/>
      </w:pPr>
      <w:r>
        <w:rPr>
          <w:b/>
          <w:bCs/>
        </w:rPr>
        <w:t xml:space="preserve">The five working engines are analytical jobs.</w:t>
      </w:r>
      <w:r>
        <w:t xml:space="preserve"> </w:t>
      </w:r>
      <w:r>
        <w:t xml:space="preserve">Determination–Realization asks what is actual and what realizes a difference. Dependence–Origin asks what explains it. Possibility–Agency asks what could differ and how an agent acts. Manifestation–Measure asks what is disclosed and with what warrant. Goodness–Fulfillment asks what would perfect the subject. These jobs help audit the argument; they are not the five primitive groups of the formal model below.</w:t>
      </w:r>
    </w:p>
    <w:p>
      <w:pPr>
        <w:pStyle w:val="BodyText"/>
      </w:pPr>
      <w:hyperlink r:id="rId184">
        <w:r>
          <w:rPr>
            <w:rStyle w:val="Hyperlink"/>
          </w:rPr>
          <w:t xml:space="preserve">Read the shared guide to the three investigations →</w:t>
        </w:r>
      </w:hyperlink>
    </w:p>
    <w:p>
      <w:pPr>
        <w:pStyle w:val="BodyText"/>
      </w:pPr>
      <w:r>
        <w:t xml:space="preserve">02 / THE BASIS</w:t>
      </w:r>
    </w:p>
    <w:bookmarkStart w:id="185" w:name="keep-the-categories-apart."/>
    <w:p>
      <w:pPr>
        <w:pStyle w:val="Heading2"/>
      </w:pPr>
      <w:r>
        <w:t xml:space="preserve">Keep the categories apart.</w:t>
      </w:r>
    </w:p>
    <w:p>
      <w:pPr>
        <w:pStyle w:val="FirstParagraph"/>
      </w:pPr>
      <w:r>
        <w:t xml:space="preserve">Everything below is a modern constructive proposal. Historical texts supply constraints and resources; no author is credited with this formal system.</w:t>
      </w:r>
    </w:p>
    <w:bookmarkEnd w:id="185"/>
    <w:p>
      <w:pPr>
        <w:pStyle w:val="BodyText"/>
      </w:pPr>
      <w:r>
        <w:t xml:space="preserve">ONTOLOGICAL</w:t>
      </w:r>
      <w:r>
        <w:t xml:space="preserve">CAUSAL</w:t>
      </w:r>
      <w:r>
        <w:t xml:space="preserve">QUALITATIVE</w:t>
      </w:r>
      <w:r>
        <w:t xml:space="preserve">CONSTITUTIVE</w:t>
      </w:r>
      <w:r>
        <w:t xml:space="preserve">MODAL</w:t>
      </w:r>
    </w:p>
    <w:p>
      <w:pPr>
        <w:pStyle w:val="DefinitionTerm"/>
      </w:pPr>
      <w:r>
        <w:t xml:space="preserve">Cᵥ(y,x,q)</w:t>
      </w:r>
    </w:p>
    <w:p>
      <w:pPr>
        <w:pStyle w:val="Definition"/>
      </w:pPr>
      <w:r>
        <w:rPr>
          <w:b/>
          <w:bCs/>
        </w:rPr>
        <w:t xml:space="preserve">Productive causation.</w:t>
      </w:r>
      <w:r>
        <w:t xml:space="preserve"> </w:t>
      </w:r>
      <w:r>
        <w:t xml:space="preserve">y produces or sustains a real perfection q in x. Causing something remains distinct from being a constituent of it.</w:t>
      </w:r>
    </w:p>
    <w:p>
      <w:pPr>
        <w:pStyle w:val="DefinitionTerm"/>
      </w:pPr>
      <w:r>
        <w:t xml:space="preserve">Dᵥ(x,y,r)</w:t>
      </w:r>
    </w:p>
    <w:p>
      <w:pPr>
        <w:pStyle w:val="Definition"/>
      </w:pPr>
      <w:r>
        <w:rPr>
          <w:b/>
          <w:bCs/>
        </w:rPr>
        <w:t xml:space="preserve">Ontological dependence.</w:t>
      </w:r>
      <w:r>
        <w:t xml:space="preserve"> </w:t>
      </w:r>
      <w:r>
        <w:t xml:space="preserve">x depends on y for its actuality in respect r. This concerns what sustains or explains x, rather than merely what would happen if y were absent.</w:t>
      </w:r>
    </w:p>
    <w:p>
      <w:pPr>
        <w:pStyle w:val="DefinitionTerm"/>
      </w:pPr>
      <w:r>
        <w:t xml:space="preserve">Hᵥ(x,q,m)</w:t>
      </w:r>
    </w:p>
    <w:p>
      <w:pPr>
        <w:pStyle w:val="Definition"/>
      </w:pPr>
      <w:r>
        <w:rPr>
          <w:b/>
          <w:bCs/>
        </w:rPr>
        <w:t xml:space="preserve">Qualitative realization.</w:t>
      </w:r>
      <w:r>
        <w:t xml:space="preserve"> </w:t>
      </w:r>
      <w:r>
        <w:t xml:space="preserve">x really possesses a candidate positive perfection-content q in mode m. Selecting that content requires independent warrant; a complete finite-kind description is not automatically a pure perfection. Corresponding content does not mean a shared entity or genus.</w:t>
      </w:r>
    </w:p>
    <w:p>
      <w:pPr>
        <w:pStyle w:val="DefinitionTerm"/>
      </w:pPr>
      <w:r>
        <w:t xml:space="preserve">Kᵥ(z,x)</w:t>
      </w:r>
    </w:p>
    <w:p>
      <w:pPr>
        <w:pStyle w:val="Definition"/>
      </w:pPr>
      <w:r>
        <w:rPr>
          <w:b/>
          <w:bCs/>
        </w:rPr>
        <w:t xml:space="preserve">Intrinsic constituency.</w:t>
      </w:r>
      <w:r>
        <w:t xml:space="preserve"> </w:t>
      </w:r>
      <w:r>
        <w:t xml:space="preserve">z is a proper part or constituting principle within x. This distinguishes what x consists of from what causes it.</w:t>
      </w:r>
    </w:p>
    <w:p>
      <w:pPr>
        <w:pStyle w:val="DefinitionTerm"/>
      </w:pPr>
      <w:r>
        <w:t xml:space="preserve">Jᵥ(x)</w:t>
      </w:r>
    </w:p>
    <w:p>
      <w:pPr>
        <w:pStyle w:val="Definition"/>
      </w:pPr>
      <w:r>
        <w:rPr>
          <w:b/>
          <w:bCs/>
        </w:rPr>
        <w:t xml:space="preserve">Intrinsic actuality.</w:t>
      </w:r>
      <w:r>
        <w:t xml:space="preserve"> </w:t>
      </w:r>
      <w:r>
        <w:t xml:space="preserve">What x is in itself in possible situation w. This lets us ask whether different effects require a change within their source.</w:t>
      </w:r>
    </w:p>
    <w:p>
      <w:pPr>
        <w:pStyle w:val="FirstParagraph"/>
      </w:pPr>
      <w:r>
        <w:rPr>
          <w:b/>
          <w:bCs/>
        </w:rPr>
        <w:t xml:space="preserve">Disclosed background assumptions.</w:t>
      </w:r>
      <w:r>
        <w:t xml:space="preserve"> </w:t>
      </w:r>
      <w:r>
        <w:t xml:space="preserve">Identity, typed quantification, possible worlds, qualitative indices, and a mode-order with bounded values and ∞ are also used. C and D are factive; K is actual, irreflexive, and transitive; H has one complete mode per subject/respect. A(x) is</w:t>
      </w:r>
      <w:r>
        <w:t xml:space="preserve"> </w:t>
      </w:r>
      <w:r>
        <w:rPr>
          <w:i/>
          <w:iCs/>
        </w:rPr>
        <w:t xml:space="preserve">defined</w:t>
      </w:r>
      <w:r>
        <w:t xml:space="preserve"> </w:t>
      </w:r>
      <w:r>
        <w:t xml:space="preserve">as ∃m H(x,e,m), and μₑ(x) is that mode. Actuality remains semantically primitive in realization, not a sixth independent predicate. J records intrinsic facts not assumed exhausted by selected H/K facts; if that coverage were exhaustive, J could be eliminated. Nine counts substantive clauses relative to this background, not every assumption.</w:t>
      </w:r>
    </w:p>
    <w:p>
      <w:pPr>
        <w:pStyle w:val="BodyText"/>
      </w:pPr>
      <w:r>
        <w:t xml:space="preserve">The proposed account assumes an actual source g and scopes the domain to created beings/principles and their source. It does not prove God’s existence or necessity, model divine hypostases as additional created beings, or adjudicate Trinitarian distinctions, incarnation, or grace. Candidate “positive” contents must be warranted independently; shared q is not defined as “whatever God causes.”</w:t>
      </w:r>
    </w:p>
    <w:bookmarkStart w:id="186" w:name="nine-independently-motivated-clauses"/>
    <w:p>
      <w:pPr>
        <w:pStyle w:val="Heading3"/>
      </w:pPr>
      <w:r>
        <w:t xml:space="preserve">NINE INDEPENDENTLY MOTIVATED CLAUSES</w:t>
      </w:r>
    </w:p>
    <w:bookmarkEnd w:id="186"/>
    <w:bookmarkStart w:id="187" w:name="guniversal-sustaining-causality"/>
    <w:p>
      <w:pPr>
        <w:pStyle w:val="Heading3"/>
      </w:pPr>
      <w:r>
        <w:t xml:space="preserve">G</w:t>
      </w:r>
      <w:r>
        <w:t xml:space="preserve">Universal sustaining causality</w:t>
      </w:r>
    </w:p>
    <w:p>
      <w:pPr>
        <w:pStyle w:val="FirstParagraph"/>
      </w:pPr>
      <w:r>
        <w:t xml:space="preserve">The designated source g presently causes or sustains every other actual being and its positive perfections. This includes sustaining each creature’s existence.</w:t>
      </w:r>
    </w:p>
    <w:p>
      <w:pPr>
        <w:pStyle w:val="SourceCode"/>
      </w:pPr>
      <w:r>
        <w:rPr>
          <w:rStyle w:val="VerbatimChar"/>
        </w:rPr>
        <w:t xml:space="preserve">A(x) ∧ x ≠ g ∧ H(x,q,m) ⇒ C(g,x,q)</w:t>
      </w:r>
    </w:p>
    <w:p>
      <w:pPr>
        <w:pStyle w:val="FirstParagraph"/>
      </w:pPr>
      <w:r>
        <w:t xml:space="preserve">Conditional theological profile. Remove it: A genuinely actual creature with no source remains possible. Dependence “in every moment” cannot then be claimed.</w:t>
      </w:r>
    </w:p>
    <w:bookmarkEnd w:id="187"/>
    <w:bookmarkStart w:id="188" w:name="cpcausal-dependence"/>
    <w:p>
      <w:pPr>
        <w:pStyle w:val="Heading3"/>
      </w:pPr>
      <w:r>
        <w:t xml:space="preserve">CP</w:t>
      </w:r>
      <w:r>
        <w:t xml:space="preserve">Causal dependence</w:t>
      </w:r>
    </w:p>
    <w:p>
      <w:pPr>
        <w:pStyle w:val="FirstParagraph"/>
      </w:pPr>
      <w:r>
        <w:t xml:space="preserve">Productive or sustaining causation grounds an effect’s actuality in the relevant respect. This bridge is not silently packed into the word “cause.”</w:t>
      </w:r>
    </w:p>
    <w:p>
      <w:pPr>
        <w:pStyle w:val="SourceCode"/>
      </w:pPr>
      <w:r>
        <w:rPr>
          <w:rStyle w:val="VerbatimChar"/>
        </w:rPr>
        <w:t xml:space="preserve">C(y,x,q) ⇒ D(x,y,q)</w:t>
      </w:r>
    </w:p>
    <w:p>
      <w:pPr>
        <w:pStyle w:val="FirstParagraph"/>
      </w:pPr>
      <w:r>
        <w:t xml:space="preserve">Causal bridge. Remove it: Causal arrows can coexist with no</w:t>
      </w:r>
      <w:r>
        <w:t xml:space="preserve"> </w:t>
      </w:r>
      <w:hyperlink r:id="rId24">
        <w:r>
          <w:rPr>
            <w:rStyle w:val="Hyperlink"/>
          </w:rPr>
          <w:t xml:space="preserve">ontological dependence</w:t>
        </w:r>
      </w:hyperlink>
      <w:r>
        <w:t xml:space="preserve">. Production no longer establishes the Creator–creature interval.</w:t>
      </w:r>
    </w:p>
    <w:bookmarkEnd w:id="188"/>
    <w:bookmarkStart w:id="189" w:name="uthe-source-depends-on-nothing"/>
    <w:p>
      <w:pPr>
        <w:pStyle w:val="Heading3"/>
      </w:pPr>
      <w:r>
        <w:t xml:space="preserve">U</w:t>
      </w:r>
      <w:r>
        <w:t xml:space="preserve">The source depends on nothing</w:t>
      </w:r>
    </w:p>
    <w:p>
      <w:pPr>
        <w:pStyle w:val="FirstParagraph"/>
      </w:pPr>
      <w:r>
        <w:t xml:space="preserve">The designated source receives none of the actuality or perfection by which it is actual. This does not by itself say that it is infinite, simple, or existent.</w:t>
      </w:r>
    </w:p>
    <w:p>
      <w:pPr>
        <w:pStyle w:val="SourceCode"/>
      </w:pPr>
      <w:r>
        <w:rPr>
          <w:rStyle w:val="VerbatimChar"/>
        </w:rPr>
        <w:t xml:space="preserve">¬∃y,r D(g,y,r)</w:t>
      </w:r>
    </w:p>
    <w:p>
      <w:pPr>
        <w:pStyle w:val="FirstParagraph"/>
      </w:pPr>
      <w:r>
        <w:t xml:space="preserve">Conditional theological profile. Remove it: An unlimited source may itself depend upon another. A cycle of</w:t>
      </w:r>
      <w:r>
        <w:t xml:space="preserve"> </w:t>
      </w:r>
      <w:hyperlink r:id="rId25">
        <w:r>
          <w:rPr>
            <w:rStyle w:val="Hyperlink"/>
          </w:rPr>
          <w:t xml:space="preserve">grounding</w:t>
        </w:r>
      </w:hyperlink>
      <w:r>
        <w:t xml:space="preserve"> </w:t>
      </w:r>
      <w:r>
        <w:t xml:space="preserve">or divine completion is admitted.</w:t>
      </w:r>
    </w:p>
    <w:bookmarkEnd w:id="189"/>
    <w:bookmarkStart w:id="190" w:name="qcausal-adequacy-of-the-ultimate-source"/>
    <w:p>
      <w:pPr>
        <w:pStyle w:val="Heading3"/>
      </w:pPr>
      <w:r>
        <w:t xml:space="preserve">Q</w:t>
      </w:r>
      <w:r>
        <w:t xml:space="preserve">Causal adequacy of the ultimate source</w:t>
      </w:r>
    </w:p>
    <w:p>
      <w:pPr>
        <w:pStyle w:val="FirstParagraph"/>
      </w:pPr>
      <w:r>
        <w:t xml:space="preserve">An independently identified positive perfection-content caused by the ultimate source has corresponding content in that source, under a potentially different mode. Both the selection of q and this possession bridge need argument. A complete finite-kind description is not transferred wholesale: causing learning does not imply learning. The principle does not apply to every instrumental cause, and must mean more than “can cause q.”</w:t>
      </w:r>
    </w:p>
    <w:p>
      <w:pPr>
        <w:pStyle w:val="SourceCode"/>
      </w:pPr>
      <w:r>
        <w:rPr>
          <w:rStyle w:val="VerbatimChar"/>
        </w:rPr>
        <w:t xml:space="preserve">C(g,x,q) ∧ H(x,q,m) ⇒ ∃n H(g,q,n)</w:t>
      </w:r>
    </w:p>
    <w:p>
      <w:pPr>
        <w:pStyle w:val="FirstParagraph"/>
      </w:pPr>
      <w:r>
        <w:t xml:space="preserve">Perfection bridge. Remove it: Causation no longer establishes corresponding source-perfection for an additional content q; likeness and manifestation in that respect become underivable. Shared existential actuality can remain.</w:t>
      </w:r>
    </w:p>
    <w:bookmarkEnd w:id="190"/>
    <w:bookmarkStart w:id="191" w:name="kdcomposition-entails-dependence"/>
    <w:p>
      <w:pPr>
        <w:pStyle w:val="Heading3"/>
      </w:pPr>
      <w:r>
        <w:t xml:space="preserve">KD</w:t>
      </w:r>
      <w:r>
        <w:t xml:space="preserve">Composition entails dependence</w:t>
      </w:r>
    </w:p>
    <w:p>
      <w:pPr>
        <w:pStyle w:val="FirstParagraph"/>
      </w:pPr>
      <w:r>
        <w:t xml:space="preserve">A composite’s actuality depends upon its proper intrinsic constituents. Underivation plus this principle excludes composition of the source.</w:t>
      </w:r>
    </w:p>
    <w:p>
      <w:pPr>
        <w:pStyle w:val="SourceCode"/>
      </w:pPr>
      <w:r>
        <w:rPr>
          <w:rStyle w:val="VerbatimChar"/>
        </w:rPr>
        <w:t xml:space="preserve">K(z,x) ⇒ D(x,z,e)</w:t>
      </w:r>
    </w:p>
    <w:p>
      <w:pPr>
        <w:pStyle w:val="FirstParagraph"/>
      </w:pPr>
      <w:r>
        <w:t xml:space="preserve">Constitution bridge. Remove it: A composite source can simply be stipulated independent of its own intrinsic parts.</w:t>
      </w:r>
    </w:p>
    <w:bookmarkEnd w:id="191"/>
    <w:bookmarkStart w:id="192" w:name="khconstituents-do-not-exceed-the-whole"/>
    <w:p>
      <w:pPr>
        <w:pStyle w:val="Heading3"/>
      </w:pPr>
      <w:r>
        <w:t xml:space="preserve">KH</w:t>
      </w:r>
      <w:r>
        <w:t xml:space="preserve">Constituents do not exceed the whole</w:t>
      </w:r>
    </w:p>
    <w:p>
      <w:pPr>
        <w:pStyle w:val="FirstParagraph"/>
      </w:pPr>
      <w:r>
        <w:t xml:space="preserve">An intrinsic constituent cannot exceed the whole containing it in the relevant capacity for actuality. This goes beyond a theory of parts and wholes and must be defended independently.</w:t>
      </w:r>
    </w:p>
    <w:p>
      <w:pPr>
        <w:pStyle w:val="SourceCode"/>
      </w:pPr>
      <w:r>
        <w:rPr>
          <w:rStyle w:val="VerbatimChar"/>
        </w:rPr>
        <w:t xml:space="preserve">K(z,x) ⇒ μₑ(z) ≤ μₑ(x)</w:t>
      </w:r>
    </w:p>
    <w:p>
      <w:pPr>
        <w:pStyle w:val="FirstParagraph"/>
      </w:pPr>
      <w:r>
        <w:t xml:space="preserve">Mode / constitution bridge. Remove it: An unlimited source may be stipulated an intrinsic constituent of a finite creature.</w:t>
      </w:r>
    </w:p>
    <w:bookmarkEnd w:id="192"/>
    <w:bookmarkStart w:id="193" w:name="fsunbounded-source-actuality"/>
    <w:p>
      <w:pPr>
        <w:pStyle w:val="Heading3"/>
      </w:pPr>
      <w:r>
        <w:t xml:space="preserve">FS</w:t>
      </w:r>
      <w:r>
        <w:t xml:space="preserve">Unbounded source actuality</w:t>
      </w:r>
    </w:p>
    <w:p>
      <w:pPr>
        <w:pStyle w:val="FirstParagraph"/>
      </w:pPr>
      <w:r>
        <w:t xml:space="preserve">The source is unlimited in actuality. Underivation does not prove this. Unlimitedness in another perfection requires its own argument; adequacy alone supplies corresponding content, not an infinite degree.</w:t>
      </w:r>
    </w:p>
    <w:p>
      <w:pPr>
        <w:pStyle w:val="SourceCode"/>
      </w:pPr>
      <w:r>
        <w:rPr>
          <w:rStyle w:val="VerbatimChar"/>
        </w:rPr>
        <w:t xml:space="preserve">μₑ(g) = ∞</w:t>
      </w:r>
    </w:p>
    <w:p>
      <w:pPr>
        <w:pStyle w:val="FirstParagraph"/>
      </w:pPr>
      <w:r>
        <w:t xml:space="preserve">Conditional theological profile. Remove it: An underived, simple, finite source is possible; some finite expression can match its measure.</w:t>
      </w:r>
    </w:p>
    <w:bookmarkEnd w:id="193"/>
    <w:bookmarkStart w:id="194" w:name="fcbounded-created-actuality"/>
    <w:p>
      <w:pPr>
        <w:pStyle w:val="Heading3"/>
      </w:pPr>
      <w:r>
        <w:t xml:space="preserve">FC</w:t>
      </w:r>
      <w:r>
        <w:t xml:space="preserve">Bounded created actuality</w:t>
      </w:r>
    </w:p>
    <w:p>
      <w:pPr>
        <w:pStyle w:val="FirstParagraph"/>
      </w:pPr>
      <w:r>
        <w:t xml:space="preserve">Every actual other has a bounded mode of actuality. This is not a restriction on the source. “Bounded” is not a reduction of all perfections to a numerical quantity.</w:t>
      </w:r>
    </w:p>
    <w:p>
      <w:pPr>
        <w:pStyle w:val="SourceCode"/>
      </w:pPr>
      <w:r>
        <w:rPr>
          <w:rStyle w:val="VerbatimChar"/>
        </w:rPr>
        <w:t xml:space="preserve">A(x) ∧ x ≠ g ⇒ μₑ(x) &lt; ∞</w:t>
      </w:r>
    </w:p>
    <w:p>
      <w:pPr>
        <w:pStyle w:val="FirstParagraph"/>
      </w:pPr>
      <w:r>
        <w:t xml:space="preserve">Conditional theological profile. Remove it: An other can possess the source’s unlimited measure. Nonidentity survives, but finite non-exhaustion is lost.</w:t>
      </w:r>
    </w:p>
    <w:bookmarkEnd w:id="194"/>
    <w:bookmarkStart w:id="196" w:name="X0adcc51e8d4320848c410e50cc20025f47469cc"/>
    <w:p>
      <w:pPr>
        <w:pStyle w:val="Heading3"/>
      </w:pPr>
      <w:r>
        <w:t xml:space="preserve">X</w:t>
      </w:r>
      <w:r>
        <w:t xml:space="preserve">Unchanged source across creation alternatives</w:t>
      </w:r>
    </w:p>
    <w:p>
      <w:pPr>
        <w:pStyle w:val="FirstParagraph"/>
      </w:pPr>
      <w:r>
        <w:t xml:space="preserve">Differences in created effects do not constitute differences or gains in the source’s</w:t>
      </w:r>
      <w:r>
        <w:t xml:space="preserve"> </w:t>
      </w:r>
      <w:hyperlink r:id="rId195">
        <w:r>
          <w:rPr>
            <w:rStyle w:val="Hyperlink"/>
          </w:rPr>
          <w:t xml:space="preserve">intrinsic actuality</w:t>
        </w:r>
      </w:hyperlink>
      <w:r>
        <w:t xml:space="preserve">. Underivation at each world does not alone prove this comparison across worlds.</w:t>
      </w:r>
    </w:p>
    <w:p>
      <w:pPr>
        <w:pStyle w:val="SourceCode"/>
      </w:pPr>
      <w:r>
        <w:rPr>
          <w:rStyle w:val="VerbatimChar"/>
        </w:rPr>
        <w:t xml:space="preserve">Jᵥ(g) = Jᵥ′(g) for admissible creation alternatives</w:t>
      </w:r>
    </w:p>
    <w:p>
      <w:pPr>
        <w:pStyle w:val="FirstParagraph"/>
      </w:pPr>
      <w:r>
        <w:t xml:space="preserve">Modal / relational bridge. Remove it: Different created histories may be correlated with different intrinsic states of the source, without those effects grounding the source’s actuality within either possible world.</w:t>
      </w:r>
    </w:p>
    <w:bookmarkEnd w:id="196"/>
    <w:bookmarkStart w:id="197" w:name="X2c9b54832e076eeff7a4283694a2c8c69dfa1a6"/>
    <w:p>
      <w:pPr>
        <w:pStyle w:val="Heading3"/>
      </w:pPr>
      <w:r>
        <w:t xml:space="preserve">DEFINED TERMS — NO THEOREM INSIDE THE DEFINITION</w:t>
      </w:r>
    </w:p>
    <w:p>
      <w:pPr>
        <w:pStyle w:val="DefinitionTerm"/>
      </w:pPr>
      <w:r>
        <w:t xml:space="preserve">Rec(x,q,g)</w:t>
      </w:r>
    </w:p>
    <w:p>
      <w:pPr>
        <w:pStyle w:val="Definition"/>
      </w:pPr>
      <w:r>
        <w:t xml:space="preserve">C(g,x,q) ∧ ∃m H(x,q,m): a real perfection caused by g and genuinely possessed by x. Likeness is not assumed.</w:t>
      </w:r>
    </w:p>
    <w:p>
      <w:pPr>
        <w:pStyle w:val="DefinitionTerm"/>
      </w:pPr>
      <w:r>
        <w:t xml:space="preserve">P(x,g,q)</w:t>
      </w:r>
    </w:p>
    <w:p>
      <w:pPr>
        <w:pStyle w:val="Definition"/>
      </w:pPr>
      <w:r>
        <w:t xml:space="preserve">Rec(x,q,g) ∧ D(x,g,q): real, dependent possession in this causal model. Whether it also expresses the source depends on Q; agency and finality need further principles.</w:t>
      </w:r>
    </w:p>
    <w:p>
      <w:pPr>
        <w:pStyle w:val="DefinitionTerm"/>
      </w:pPr>
      <w:r>
        <w:t xml:space="preserve">L(x,g,q)</w:t>
      </w:r>
    </w:p>
    <w:p>
      <w:pPr>
        <w:pStyle w:val="Definition"/>
      </w:pPr>
      <w:r>
        <w:t xml:space="preserve">∃m,n [H(x,q,m) ∧ H(g,q,n)]: qualitative agreement. It does not encode equality of modes, identity, or a common genus.</w:t>
      </w:r>
    </w:p>
    <w:p>
      <w:pPr>
        <w:pStyle w:val="DefinitionTerm"/>
      </w:pPr>
      <w:r>
        <w:t xml:space="preserve">E(x,g,q)</w:t>
      </w:r>
    </w:p>
    <w:p>
      <w:pPr>
        <w:pStyle w:val="Definition"/>
      </w:pPr>
      <w:r>
        <w:t xml:space="preserve">P(x,g,q) ∧ L(x,g,q): objective causal expression in the model’s restricted sense. This combines received realization and corresponding source-content. It establishes neither an observer’s knowledge nor a particular divine message or intention.</w:t>
      </w:r>
    </w:p>
    <w:p>
      <w:pPr>
        <w:pStyle w:val="DefinitionTerm"/>
      </w:pPr>
      <w:r>
        <w:t xml:space="preserve">U(y)</w:t>
      </w:r>
    </w:p>
    <w:p>
      <w:pPr>
        <w:pStyle w:val="Definition"/>
      </w:pPr>
      <w:r>
        <w:t xml:space="preserve">¬∃z,r D(y,z,r): underivation. No infinity or simplicity is concealed here.</w:t>
      </w:r>
    </w:p>
    <w:p>
      <w:pPr>
        <w:pStyle w:val="DefinitionTerm"/>
      </w:pPr>
      <w:r>
        <w:t xml:space="preserve">Simple(y)</w:t>
      </w:r>
    </w:p>
    <w:p>
      <w:pPr>
        <w:pStyle w:val="Definition"/>
      </w:pPr>
      <w:r>
        <w:t xml:space="preserve">¬∃z K(z,y): no proper intrinsic composition. This leaves disputed formal distinctions and energies unadjudicated.</w:t>
      </w:r>
    </w:p>
    <w:p>
      <w:pPr>
        <w:pStyle w:val="DefinitionTerm"/>
      </w:pPr>
      <w:r>
        <w:t xml:space="preserve">Non-exhaustion</w:t>
      </w:r>
    </w:p>
    <w:p>
      <w:pPr>
        <w:pStyle w:val="Definition"/>
      </w:pPr>
      <w:r>
        <w:t xml:space="preserve">μₑ(x) &lt; μₑ(g) for finite actual x; an actuality-mode comparison, not a blanket theory of representation.</w:t>
      </w:r>
    </w:p>
    <w:bookmarkEnd w:id="197"/>
    <w:bookmarkStart w:id="198" w:name="X97917832a1a6faa5f570cc26cec153d6ada792b"/>
    <w:p>
      <w:pPr>
        <w:pStyle w:val="Heading3"/>
      </w:pPr>
      <w:r>
        <w:t xml:space="preserve">Can the candidate primitives be eliminated?</w:t>
      </w:r>
    </w:p>
    <w:p>
      <w:pPr>
        <w:pStyle w:val="FirstParagraph"/>
      </w:pPr>
      <w:r>
        <w:t xml:space="preserve">Source is a role; reception, participation, expression, and communication are defined. Likeness needs qualitative realization, not a new likeness</w:t>
      </w:r>
      <w:r>
        <w:t xml:space="preserve"> </w:t>
      </w:r>
      <w:hyperlink r:id="rId50">
        <w:r>
          <w:rPr>
            <w:rStyle w:val="Hyperlink"/>
          </w:rPr>
          <w:t xml:space="preserve">primitive</w:t>
        </w:r>
      </w:hyperlink>
      <w:r>
        <w:t xml:space="preserve">. Perfection requires an independently defended positive-content interpretation of q. Measure may be stored inside H, but removing its information destroys finite/infinite claims. Eliminating C collapses productive and constitutive grounding; eliminating K makes nonconstituency inexpressible; eliminating J loses the cross-world intrinsic/extrinsic distinction. Actuality can be represented by actual-domain semantics rather than A, but that changes notation, not the question of existence. These are information-loss tests, not proofs that no alternative interdefinition could work.</w:t>
      </w:r>
    </w:p>
    <w:bookmarkEnd w:id="198"/>
    <w:p>
      <w:pPr>
        <w:pStyle w:val="BodyText"/>
      </w:pPr>
      <w:r>
        <w:t xml:space="preserve">03 / THE DERIVATIONS</w:t>
      </w:r>
    </w:p>
    <w:bookmarkStart w:id="199" w:name="fifteen-claims.-unequal-logical-status."/>
    <w:p>
      <w:pPr>
        <w:pStyle w:val="Heading2"/>
      </w:pPr>
      <w:r>
        <w:t xml:space="preserve">Fifteen claims.</w:t>
      </w:r>
      <w:r>
        <w:br/>
      </w:r>
      <w:r>
        <w:t xml:space="preserve">Unequal logical status.</w:t>
      </w:r>
    </w:p>
    <w:p>
      <w:pPr>
        <w:pStyle w:val="FirstParagraph"/>
      </w:pPr>
      <w:r>
        <w:t xml:space="preserve">Arrows show the clauses used in this reconstruction. “Conditional” means that the stated assumptions about the source are adopted; no cosmological existence proof is being presented.</w:t>
      </w:r>
    </w:p>
    <w:bookmarkEnd w:id="199"/>
    <w:p>
      <w:pPr>
        <w:pStyle w:val="BodyText"/>
      </w:pPr>
      <w:r>
        <w:t xml:space="preserve">G + CP + U</w:t>
      </w:r>
    </w:p>
    <w:p>
      <w:pPr>
        <w:pStyle w:val="BodyText"/>
      </w:pPr>
      <w:r>
        <w:t xml:space="preserve">→</w:t>
      </w:r>
    </w:p>
    <w:p>
      <w:pPr>
        <w:pStyle w:val="BodyText"/>
      </w:pPr>
      <w:r>
        <w:t xml:space="preserve">caused or sustained actuality → asymmetric dependence → effect ≠ source</w:t>
      </w:r>
    </w:p>
    <w:p>
      <w:pPr>
        <w:pStyle w:val="BodyText"/>
      </w:pPr>
      <w:r>
        <w:t xml:space="preserve">Q + realized content</w:t>
      </w:r>
    </w:p>
    <w:p>
      <w:pPr>
        <w:pStyle w:val="BodyText"/>
      </w:pPr>
      <w:r>
        <w:t xml:space="preserve">→</w:t>
      </w:r>
    </w:p>
    <w:p>
      <w:pPr>
        <w:pStyle w:val="BodyText"/>
      </w:pPr>
      <w:r>
        <w:t xml:space="preserve">real causal likeness; different mode remains possible</w:t>
      </w:r>
    </w:p>
    <w:p>
      <w:pPr>
        <w:pStyle w:val="BodyText"/>
      </w:pPr>
      <w:r>
        <w:t xml:space="preserve">KD + U</w:t>
      </w:r>
      <w:r>
        <w:br/>
      </w:r>
      <w:r>
        <w:t xml:space="preserve">KH + FS + FC</w:t>
      </w:r>
    </w:p>
    <w:p>
      <w:pPr>
        <w:pStyle w:val="BodyText"/>
      </w:pPr>
      <w:r>
        <w:t xml:space="preserve">→</w:t>
      </w:r>
    </w:p>
    <w:p>
      <w:pPr>
        <w:pStyle w:val="BodyText"/>
      </w:pPr>
      <w:r>
        <w:t xml:space="preserve">no components in source; source is no component in creature</w:t>
      </w:r>
    </w:p>
    <w:p>
      <w:pPr>
        <w:pStyle w:val="BodyText"/>
      </w:pPr>
      <w:r>
        <w:t xml:space="preserve">FS + FC</w:t>
      </w:r>
    </w:p>
    <w:p>
      <w:pPr>
        <w:pStyle w:val="BodyText"/>
      </w:pPr>
      <w:r>
        <w:t xml:space="preserve">→</w:t>
      </w:r>
    </w:p>
    <w:p>
      <w:pPr>
        <w:pStyle w:val="BodyText"/>
      </w:pPr>
      <w:r>
        <w:t xml:space="preserve">finite actuality cannot measure source actuality</w:t>
      </w:r>
    </w:p>
    <w:p>
      <w:pPr>
        <w:pStyle w:val="BodyText"/>
      </w:pPr>
      <w:r>
        <w:t xml:space="preserve">X + V + W</w:t>
      </w:r>
    </w:p>
    <w:p>
      <w:pPr>
        <w:pStyle w:val="BodyText"/>
      </w:pPr>
      <w:r>
        <w:t xml:space="preserve">→</w:t>
      </w:r>
    </w:p>
    <w:p>
      <w:pPr>
        <w:pStyle w:val="BodyText"/>
      </w:pPr>
      <w:r>
        <w:t xml:space="preserve">unchanged intrinsic fullness; alternatives; intentional choice</w:t>
      </w:r>
    </w:p>
    <w:bookmarkStart w:id="200" w:name="inspect-all-fifteen-theorem-assessments"/>
    <w:p>
      <w:pPr>
        <w:pStyle w:val="Heading3"/>
      </w:pPr>
      <w:r>
        <w:t xml:space="preserve">Inspect all fifteen theorem assessments</w:t>
      </w:r>
    </w:p>
    <w:tbl>
      <w:tblPr>
        <w:tblStyle w:val="TableGrid"/>
        <w:tblW w:type="dxa" w:w="9936"/>
        <w:jc w:val="left"/>
        <w:tblLayout w:type="fixed"/>
        <w:tblLook w:firstRow="1" w:lastRow="0" w:firstColumn="0" w:lastColumn="0" w:noHBand="0" w:noVBand="0" w:val="0020"/>
      </w:tblPr>
      <w:tblGrid>
        <w:gridCol w:w="1689"/>
        <w:gridCol w:w="2749"/>
        <w:gridCol w:w="2749"/>
        <w:gridCol w:w="2749"/>
      </w:tblGrid>
      <w:tr>
        <w:trPr>
          <w:tblHeader w:val="true"/>
        </w:trPr>
        <w:tc>
          <w:tcPr>
            <w:tcW w:type="dxa" w:w="1689"/>
            <w:shd w:fill="EAE5DA"/>
          </w:tcPr>
          <w:p>
            <w:pPr>
              <w:pStyle w:val="BodyText"/>
              <w:keepNext w:val="0"/>
              <w:spacing w:after="80" w:line="252" w:lineRule="auto"/>
              <w:jc w:val="left"/>
            </w:pPr>
            <w:r>
              <w:rPr>
                <w:rFonts w:ascii="Calibri" w:hAnsi="Calibri"/>
                <w:b/>
                <w:sz w:val="17"/>
              </w:rPr>
              <w:t xml:space="preserve">Claim</w:t>
            </w:r>
          </w:p>
        </w:tc>
        <w:tc>
          <w:tcPr>
            <w:tcW w:type="dxa" w:w="2749"/>
            <w:shd w:fill="EAE5DA"/>
          </w:tcPr>
          <w:p>
            <w:pPr>
              <w:pStyle w:val="BodyText"/>
              <w:keepNext w:val="0"/>
              <w:spacing w:after="80" w:line="252" w:lineRule="auto"/>
              <w:jc w:val="left"/>
            </w:pPr>
            <w:r>
              <w:rPr>
                <w:rFonts w:ascii="Calibri" w:hAnsi="Calibri"/>
                <w:b/>
                <w:sz w:val="17"/>
              </w:rPr>
              <w:t xml:space="preserve">Participation theorem</w:t>
            </w:r>
          </w:p>
        </w:tc>
        <w:tc>
          <w:tcPr>
            <w:tcW w:type="dxa" w:w="2749"/>
            <w:shd w:fill="EAE5DA"/>
          </w:tcPr>
          <w:p>
            <w:pPr>
              <w:pStyle w:val="BodyText"/>
              <w:keepNext w:val="0"/>
              <w:spacing w:after="80" w:line="252" w:lineRule="auto"/>
              <w:jc w:val="left"/>
            </w:pPr>
            <w:r>
              <w:rPr>
                <w:rFonts w:ascii="Calibri" w:hAnsi="Calibri"/>
                <w:b/>
                <w:sz w:val="17"/>
              </w:rPr>
              <w:t xml:space="preserve">Uses</w:t>
            </w:r>
          </w:p>
        </w:tc>
        <w:tc>
          <w:tcPr>
            <w:tcW w:type="dxa" w:w="2749"/>
            <w:shd w:fill="EAE5DA"/>
          </w:tcPr>
          <w:p>
            <w:pPr>
              <w:pStyle w:val="BodyText"/>
              <w:keepNext w:val="0"/>
              <w:spacing w:after="80" w:line="252" w:lineRule="auto"/>
              <w:jc w:val="left"/>
            </w:pPr>
            <w:r>
              <w:rPr>
                <w:rFonts w:ascii="Calibri" w:hAnsi="Calibri"/>
                <w:b/>
                <w:sz w:val="17"/>
              </w:rPr>
              <w:t xml:space="preserve">Exact result</w:t>
            </w:r>
          </w:p>
        </w:tc>
      </w:tr>
      <w:tr>
        <w:tc>
          <w:tcPr>
            <w:tcW w:type="dxa" w:w="1689"/>
          </w:tcPr>
          <w:p>
            <w:pPr>
              <w:pStyle w:val="BodyText"/>
              <w:keepNext w:val="0"/>
              <w:spacing w:after="80" w:line="252" w:lineRule="auto"/>
              <w:jc w:val="left"/>
            </w:pPr>
            <w:r>
              <w:rPr>
                <w:rFonts w:ascii="Calibri" w:hAnsi="Calibri"/>
                <w:sz w:val="17"/>
              </w:rPr>
              <w:t xml:space="preserve">T1</w:t>
            </w:r>
          </w:p>
        </w:tc>
        <w:tc>
          <w:tcPr>
            <w:tcW w:type="dxa" w:w="2749"/>
          </w:tcPr>
          <w:p>
            <w:pPr>
              <w:pStyle w:val="BodyText"/>
              <w:keepNext w:val="0"/>
              <w:spacing w:after="80" w:line="252" w:lineRule="auto"/>
              <w:jc w:val="left"/>
            </w:pPr>
            <w:r>
              <w:rPr>
                <w:rFonts w:ascii="Calibri" w:hAnsi="Calibri"/>
                <w:b/>
                <w:bCs/>
                <w:sz w:val="17"/>
              </w:rPr>
              <w:t xml:space="preserve">Participation without partition</w:t>
            </w:r>
            <w:r>
              <w:rPr>
                <w:rFonts w:ascii="Calibri" w:hAnsi="Calibri"/>
                <w:sz w:val="17"/>
              </w:rPr>
              <w:br/>
            </w:r>
            <w:r>
              <w:rPr>
                <w:rFonts w:ascii="Calibri" w:hAnsi="Calibri"/>
                <w:sz w:val="17"/>
              </w:rPr>
              <w:t xml:space="preserve">Conditional</w:t>
            </w:r>
          </w:p>
        </w:tc>
        <w:tc>
          <w:tcPr>
            <w:tcW w:type="dxa" w:w="2749"/>
          </w:tcPr>
          <w:p>
            <w:pPr>
              <w:pStyle w:val="BodyText"/>
              <w:keepNext w:val="0"/>
              <w:spacing w:after="80" w:line="252" w:lineRule="auto"/>
              <w:jc w:val="left"/>
            </w:pPr>
            <w:r>
              <w:rPr>
                <w:rFonts w:ascii="Calibri" w:hAnsi="Calibri"/>
                <w:sz w:val="17"/>
              </w:rPr>
              <w:t xml:space="preserve">G, CP, U, KD, KH, FS, FC</w:t>
            </w:r>
          </w:p>
        </w:tc>
        <w:tc>
          <w:tcPr>
            <w:tcW w:type="dxa" w:w="2749"/>
          </w:tcPr>
          <w:p>
            <w:pPr>
              <w:pStyle w:val="BodyText"/>
              <w:keepNext w:val="0"/>
              <w:spacing w:after="80" w:line="252" w:lineRule="auto"/>
              <w:jc w:val="left"/>
            </w:pPr>
            <w:r>
              <w:rPr>
                <w:rFonts w:ascii="Calibri" w:hAnsi="Calibri"/>
                <w:sz w:val="17"/>
              </w:rPr>
              <w:t xml:space="preserve">KD + U exclude a creature as a constituent of g. KH + FS + FC exclude g as a constituent of a creature. This excludes intrinsic incorporation in either direction; other substance–mode ontologies require their own account.</w:t>
            </w:r>
          </w:p>
        </w:tc>
      </w:tr>
      <w:tr>
        <w:tc>
          <w:tcPr>
            <w:tcW w:type="dxa" w:w="1689"/>
          </w:tcPr>
          <w:p>
            <w:pPr>
              <w:pStyle w:val="BodyText"/>
              <w:keepNext w:val="0"/>
              <w:spacing w:after="80" w:line="252" w:lineRule="auto"/>
              <w:jc w:val="left"/>
            </w:pPr>
            <w:r>
              <w:rPr>
                <w:rFonts w:ascii="Calibri" w:hAnsi="Calibri"/>
                <w:sz w:val="17"/>
              </w:rPr>
              <w:t xml:space="preserve">T2</w:t>
            </w:r>
          </w:p>
        </w:tc>
        <w:tc>
          <w:tcPr>
            <w:tcW w:type="dxa" w:w="2749"/>
          </w:tcPr>
          <w:p>
            <w:pPr>
              <w:pStyle w:val="BodyText"/>
              <w:keepNext w:val="0"/>
              <w:spacing w:after="80" w:line="252" w:lineRule="auto"/>
              <w:jc w:val="left"/>
            </w:pPr>
            <w:r>
              <w:rPr>
                <w:rFonts w:ascii="Calibri" w:hAnsi="Calibri"/>
                <w:b/>
                <w:bCs/>
                <w:sz w:val="17"/>
              </w:rPr>
              <w:t xml:space="preserve">Likeness without identity</w:t>
            </w:r>
            <w:r>
              <w:rPr>
                <w:rFonts w:ascii="Calibri" w:hAnsi="Calibri"/>
                <w:sz w:val="17"/>
              </w:rPr>
              <w:br/>
            </w:r>
            <w:r>
              <w:rPr>
                <w:rFonts w:ascii="Calibri" w:hAnsi="Calibri"/>
                <w:sz w:val="17"/>
              </w:rPr>
              <w:t xml:space="preserve">Conditional</w:t>
            </w:r>
          </w:p>
        </w:tc>
        <w:tc>
          <w:tcPr>
            <w:tcW w:type="dxa" w:w="2749"/>
          </w:tcPr>
          <w:p>
            <w:pPr>
              <w:pStyle w:val="BodyText"/>
              <w:keepNext w:val="0"/>
              <w:spacing w:after="80" w:line="252" w:lineRule="auto"/>
              <w:jc w:val="left"/>
            </w:pPr>
            <w:r>
              <w:rPr>
                <w:rFonts w:ascii="Calibri" w:hAnsi="Calibri"/>
                <w:sz w:val="17"/>
              </w:rPr>
              <w:t xml:space="preserve">CP, U, Q</w:t>
            </w:r>
          </w:p>
        </w:tc>
        <w:tc>
          <w:tcPr>
            <w:tcW w:type="dxa" w:w="2749"/>
          </w:tcPr>
          <w:p>
            <w:pPr>
              <w:pStyle w:val="BodyText"/>
              <w:keepNext w:val="0"/>
              <w:spacing w:after="80" w:line="252" w:lineRule="auto"/>
              <w:jc w:val="left"/>
            </w:pPr>
            <w:r>
              <w:rPr>
                <w:rFonts w:ascii="Calibri" w:hAnsi="Calibri"/>
                <w:sz w:val="17"/>
              </w:rPr>
              <w:t xml:space="preserve">For an actual C(g,x,q) effect with H(x,q,m), Q supplies shared content. If x were g, CP would imply dependence of g, contradicting U. No difference is hidden in the definition of reception.</w:t>
            </w:r>
          </w:p>
        </w:tc>
      </w:tr>
      <w:tr>
        <w:tc>
          <w:tcPr>
            <w:tcW w:type="dxa" w:w="1689"/>
          </w:tcPr>
          <w:p>
            <w:pPr>
              <w:pStyle w:val="BodyText"/>
              <w:keepNext w:val="0"/>
              <w:spacing w:after="80" w:line="252" w:lineRule="auto"/>
              <w:jc w:val="left"/>
            </w:pPr>
            <w:r>
              <w:rPr>
                <w:rFonts w:ascii="Calibri" w:hAnsi="Calibri"/>
                <w:sz w:val="17"/>
              </w:rPr>
              <w:t xml:space="preserve">T3</w:t>
            </w:r>
          </w:p>
        </w:tc>
        <w:tc>
          <w:tcPr>
            <w:tcW w:type="dxa" w:w="2749"/>
          </w:tcPr>
          <w:p>
            <w:pPr>
              <w:pStyle w:val="BodyText"/>
              <w:keepNext w:val="0"/>
              <w:spacing w:after="80" w:line="252" w:lineRule="auto"/>
              <w:jc w:val="left"/>
            </w:pPr>
            <w:r>
              <w:rPr>
                <w:rFonts w:ascii="Calibri" w:hAnsi="Calibri"/>
                <w:b/>
                <w:bCs/>
                <w:sz w:val="17"/>
              </w:rPr>
              <w:t xml:space="preserve">Likeness without common genus</w:t>
            </w:r>
            <w:r>
              <w:rPr>
                <w:rFonts w:ascii="Calibri" w:hAnsi="Calibri"/>
                <w:sz w:val="17"/>
              </w:rPr>
              <w:br/>
            </w:r>
            <w:r>
              <w:rPr>
                <w:rFonts w:ascii="Calibri" w:hAnsi="Calibri"/>
                <w:sz w:val="17"/>
              </w:rPr>
              <w:t xml:space="preserve">Extra bridge</w:t>
            </w:r>
          </w:p>
        </w:tc>
        <w:tc>
          <w:tcPr>
            <w:tcW w:type="dxa" w:w="2749"/>
          </w:tcPr>
          <w:p>
            <w:pPr>
              <w:pStyle w:val="BodyText"/>
              <w:keepNext w:val="0"/>
              <w:spacing w:after="80" w:line="252" w:lineRule="auto"/>
              <w:jc w:val="left"/>
            </w:pPr>
            <w:r>
              <w:rPr>
                <w:rFonts w:ascii="Calibri" w:hAnsi="Calibri"/>
                <w:sz w:val="17"/>
              </w:rPr>
              <w:t xml:space="preserve">G, Q, U, KD, N</w:t>
            </w:r>
          </w:p>
        </w:tc>
        <w:tc>
          <w:tcPr>
            <w:tcW w:type="dxa" w:w="2749"/>
          </w:tcPr>
          <w:p>
            <w:pPr>
              <w:pStyle w:val="BodyText"/>
              <w:keepNext w:val="0"/>
              <w:spacing w:after="80" w:line="252" w:lineRule="auto"/>
              <w:jc w:val="left"/>
            </w:pPr>
            <w:r>
              <w:rPr>
                <w:rFonts w:ascii="Calibri" w:hAnsi="Calibri"/>
                <w:sz w:val="17"/>
              </w:rPr>
              <w:t xml:space="preserve">The basic assumptions block an inference from likeness to genus; it does not prove that no genus exists. N + KD + U exclude natural genus-membership. Scotist univocity of a concept is a separate issue.</w:t>
            </w:r>
          </w:p>
        </w:tc>
      </w:tr>
      <w:tr>
        <w:tc>
          <w:tcPr>
            <w:tcW w:type="dxa" w:w="1689"/>
          </w:tcPr>
          <w:p>
            <w:pPr>
              <w:pStyle w:val="BodyText"/>
              <w:keepNext w:val="0"/>
              <w:spacing w:after="80" w:line="252" w:lineRule="auto"/>
              <w:jc w:val="left"/>
            </w:pPr>
            <w:r>
              <w:rPr>
                <w:rFonts w:ascii="Calibri" w:hAnsi="Calibri"/>
                <w:sz w:val="17"/>
              </w:rPr>
              <w:t xml:space="preserve">T4</w:t>
            </w:r>
          </w:p>
        </w:tc>
        <w:tc>
          <w:tcPr>
            <w:tcW w:type="dxa" w:w="2749"/>
          </w:tcPr>
          <w:p>
            <w:pPr>
              <w:pStyle w:val="BodyText"/>
              <w:keepNext w:val="0"/>
              <w:spacing w:after="80" w:line="252" w:lineRule="auto"/>
              <w:jc w:val="left"/>
            </w:pPr>
            <w:r>
              <w:rPr>
                <w:rFonts w:ascii="Calibri" w:hAnsi="Calibri"/>
                <w:b/>
                <w:bCs/>
                <w:sz w:val="17"/>
              </w:rPr>
              <w:t xml:space="preserve">Dependence without reciprocal completion</w:t>
            </w:r>
            <w:r>
              <w:rPr>
                <w:rFonts w:ascii="Calibri" w:hAnsi="Calibri"/>
                <w:sz w:val="17"/>
              </w:rPr>
              <w:br/>
            </w:r>
            <w:r>
              <w:rPr>
                <w:rFonts w:ascii="Calibri" w:hAnsi="Calibri"/>
                <w:sz w:val="17"/>
              </w:rPr>
              <w:t xml:space="preserve">Conditional</w:t>
            </w:r>
          </w:p>
        </w:tc>
        <w:tc>
          <w:tcPr>
            <w:tcW w:type="dxa" w:w="2749"/>
          </w:tcPr>
          <w:p>
            <w:pPr>
              <w:pStyle w:val="BodyText"/>
              <w:keepNext w:val="0"/>
              <w:spacing w:after="80" w:line="252" w:lineRule="auto"/>
              <w:jc w:val="left"/>
            </w:pPr>
            <w:r>
              <w:rPr>
                <w:rFonts w:ascii="Calibri" w:hAnsi="Calibri"/>
                <w:sz w:val="17"/>
              </w:rPr>
              <w:t xml:space="preserve">G, CP, U</w:t>
            </w:r>
          </w:p>
        </w:tc>
        <w:tc>
          <w:tcPr>
            <w:tcW w:type="dxa" w:w="2749"/>
          </w:tcPr>
          <w:p>
            <w:pPr>
              <w:pStyle w:val="BodyText"/>
              <w:keepNext w:val="0"/>
              <w:spacing w:after="80" w:line="252" w:lineRule="auto"/>
              <w:jc w:val="left"/>
            </w:pPr>
            <w:r>
              <w:rPr>
                <w:rFonts w:ascii="Calibri" w:hAnsi="Calibri"/>
                <w:sz w:val="17"/>
              </w:rPr>
              <w:t xml:space="preserve">Effects depend on g; no actuality of g is grounded in them. “Completion” must mean acquisition or grounding of intrinsic perfection, not merely true external predication.</w:t>
            </w:r>
          </w:p>
        </w:tc>
      </w:tr>
      <w:tr>
        <w:tc>
          <w:tcPr>
            <w:tcW w:type="dxa" w:w="1689"/>
          </w:tcPr>
          <w:p>
            <w:pPr>
              <w:pStyle w:val="BodyText"/>
              <w:keepNext w:val="0"/>
              <w:spacing w:after="80" w:line="252" w:lineRule="auto"/>
              <w:jc w:val="left"/>
            </w:pPr>
            <w:r>
              <w:rPr>
                <w:rFonts w:ascii="Calibri" w:hAnsi="Calibri"/>
                <w:sz w:val="17"/>
              </w:rPr>
              <w:t xml:space="preserve">T5</w:t>
            </w:r>
          </w:p>
        </w:tc>
        <w:tc>
          <w:tcPr>
            <w:tcW w:type="dxa" w:w="2749"/>
          </w:tcPr>
          <w:p>
            <w:pPr>
              <w:pStyle w:val="BodyText"/>
              <w:keepNext w:val="0"/>
              <w:spacing w:after="80" w:line="252" w:lineRule="auto"/>
              <w:jc w:val="left"/>
            </w:pPr>
            <w:r>
              <w:rPr>
                <w:rFonts w:ascii="Calibri" w:hAnsi="Calibri"/>
                <w:b/>
                <w:bCs/>
                <w:sz w:val="17"/>
              </w:rPr>
              <w:t xml:space="preserve">Causal intimacy without constituent identity</w:t>
            </w:r>
            <w:r>
              <w:rPr>
                <w:rFonts w:ascii="Calibri" w:hAnsi="Calibri"/>
                <w:sz w:val="17"/>
              </w:rPr>
              <w:br/>
            </w:r>
            <w:r>
              <w:rPr>
                <w:rFonts w:ascii="Calibri" w:hAnsi="Calibri"/>
                <w:sz w:val="17"/>
              </w:rPr>
              <w:t xml:space="preserve">Conditional</w:t>
            </w:r>
          </w:p>
        </w:tc>
        <w:tc>
          <w:tcPr>
            <w:tcW w:type="dxa" w:w="2749"/>
          </w:tcPr>
          <w:p>
            <w:pPr>
              <w:pStyle w:val="BodyText"/>
              <w:keepNext w:val="0"/>
              <w:spacing w:after="80" w:line="252" w:lineRule="auto"/>
              <w:jc w:val="left"/>
            </w:pPr>
            <w:r>
              <w:rPr>
                <w:rFonts w:ascii="Calibri" w:hAnsi="Calibri"/>
                <w:sz w:val="17"/>
              </w:rPr>
              <w:t xml:space="preserve">G, CP, U, KD, KH, FS, FC</w:t>
            </w:r>
          </w:p>
        </w:tc>
        <w:tc>
          <w:tcPr>
            <w:tcW w:type="dxa" w:w="2749"/>
          </w:tcPr>
          <w:p>
            <w:pPr>
              <w:pStyle w:val="BodyText"/>
              <w:keepNext w:val="0"/>
              <w:spacing w:after="80" w:line="252" w:lineRule="auto"/>
              <w:jc w:val="left"/>
            </w:pPr>
            <w:r>
              <w:rPr>
                <w:rFonts w:ascii="Calibri" w:hAnsi="Calibri"/>
                <w:sz w:val="17"/>
              </w:rPr>
              <w:t xml:space="preserve">G requires the source to sustain actuality in the present. T1 rules out intrinsic constituency in either direction. Intimacy names this present sustaining dependence, not spatial closeness; it does not exclude secondary causes.</w:t>
            </w:r>
          </w:p>
        </w:tc>
      </w:tr>
      <w:tr>
        <w:tc>
          <w:tcPr>
            <w:tcW w:type="dxa" w:w="1689"/>
          </w:tcPr>
          <w:p>
            <w:pPr>
              <w:pStyle w:val="BodyText"/>
              <w:keepNext w:val="0"/>
              <w:spacing w:after="80" w:line="252" w:lineRule="auto"/>
              <w:jc w:val="left"/>
            </w:pPr>
            <w:r>
              <w:rPr>
                <w:rFonts w:ascii="Calibri" w:hAnsi="Calibri"/>
                <w:sz w:val="17"/>
              </w:rPr>
              <w:t xml:space="preserve">T6</w:t>
            </w:r>
          </w:p>
        </w:tc>
        <w:tc>
          <w:tcPr>
            <w:tcW w:type="dxa" w:w="2749"/>
          </w:tcPr>
          <w:p>
            <w:pPr>
              <w:pStyle w:val="BodyText"/>
              <w:keepNext w:val="0"/>
              <w:spacing w:after="80" w:line="252" w:lineRule="auto"/>
              <w:jc w:val="left"/>
            </w:pPr>
            <w:r>
              <w:rPr>
                <w:rFonts w:ascii="Calibri" w:hAnsi="Calibri"/>
                <w:b/>
                <w:bCs/>
                <w:sz w:val="17"/>
              </w:rPr>
              <w:t xml:space="preserve">Transcendence without distance</w:t>
            </w:r>
            <w:r>
              <w:rPr>
                <w:rFonts w:ascii="Calibri" w:hAnsi="Calibri"/>
                <w:sz w:val="17"/>
              </w:rPr>
              <w:br/>
            </w:r>
            <w:r>
              <w:rPr>
                <w:rFonts w:ascii="Calibri" w:hAnsi="Calibri"/>
                <w:sz w:val="17"/>
              </w:rPr>
              <w:t xml:space="preserve">Compatibility</w:t>
            </w:r>
          </w:p>
        </w:tc>
        <w:tc>
          <w:tcPr>
            <w:tcW w:type="dxa" w:w="2749"/>
          </w:tcPr>
          <w:p>
            <w:pPr>
              <w:pStyle w:val="BodyText"/>
              <w:keepNext w:val="0"/>
              <w:spacing w:after="80" w:line="252" w:lineRule="auto"/>
              <w:jc w:val="left"/>
            </w:pPr>
            <w:r>
              <w:rPr>
                <w:rFonts w:ascii="Calibri" w:hAnsi="Calibri"/>
                <w:sz w:val="17"/>
              </w:rPr>
              <w:t xml:space="preserve">G, CP, U, FS, FC</w:t>
            </w:r>
          </w:p>
        </w:tc>
        <w:tc>
          <w:tcPr>
            <w:tcW w:type="dxa" w:w="2749"/>
          </w:tcPr>
          <w:p>
            <w:pPr>
              <w:pStyle w:val="BodyText"/>
              <w:keepNext w:val="0"/>
              <w:spacing w:after="80" w:line="252" w:lineRule="auto"/>
              <w:jc w:val="left"/>
            </w:pPr>
            <w:r>
              <w:rPr>
                <w:rFonts w:ascii="Calibri" w:hAnsi="Calibri"/>
                <w:sz w:val="17"/>
              </w:rPr>
              <w:t xml:space="preserve">Unequal modes and underivation coexist with present causation. The theory neither places God at a spatial location nor proves a spatial negative from a language without space.</w:t>
            </w:r>
          </w:p>
        </w:tc>
      </w:tr>
      <w:tr>
        <w:tc>
          <w:tcPr>
            <w:tcW w:type="dxa" w:w="1689"/>
          </w:tcPr>
          <w:p>
            <w:pPr>
              <w:pStyle w:val="BodyText"/>
              <w:keepNext w:val="0"/>
              <w:spacing w:after="80" w:line="252" w:lineRule="auto"/>
              <w:jc w:val="left"/>
            </w:pPr>
            <w:r>
              <w:rPr>
                <w:rFonts w:ascii="Calibri" w:hAnsi="Calibri"/>
                <w:sz w:val="17"/>
              </w:rPr>
              <w:t xml:space="preserve">T7</w:t>
            </w:r>
          </w:p>
        </w:tc>
        <w:tc>
          <w:tcPr>
            <w:tcW w:type="dxa" w:w="2749"/>
          </w:tcPr>
          <w:p>
            <w:pPr>
              <w:pStyle w:val="BodyText"/>
              <w:keepNext w:val="0"/>
              <w:spacing w:after="80" w:line="252" w:lineRule="auto"/>
              <w:jc w:val="left"/>
            </w:pPr>
            <w:r>
              <w:rPr>
                <w:rFonts w:ascii="Calibri" w:hAnsi="Calibri"/>
                <w:b/>
                <w:bCs/>
                <w:sz w:val="17"/>
              </w:rPr>
              <w:t xml:space="preserve">Finite manifestation without exhaustive representation</w:t>
            </w:r>
            <w:r>
              <w:rPr>
                <w:rFonts w:ascii="Calibri" w:hAnsi="Calibri"/>
                <w:sz w:val="17"/>
              </w:rPr>
              <w:br/>
            </w:r>
            <w:r>
              <w:rPr>
                <w:rFonts w:ascii="Calibri" w:hAnsi="Calibri"/>
                <w:sz w:val="17"/>
              </w:rPr>
              <w:t xml:space="preserve">Qualified</w:t>
            </w:r>
          </w:p>
        </w:tc>
        <w:tc>
          <w:tcPr>
            <w:tcW w:type="dxa" w:w="2749"/>
          </w:tcPr>
          <w:p>
            <w:pPr>
              <w:pStyle w:val="BodyText"/>
              <w:keepNext w:val="0"/>
              <w:spacing w:after="80" w:line="252" w:lineRule="auto"/>
              <w:jc w:val="left"/>
            </w:pPr>
            <w:r>
              <w:rPr>
                <w:rFonts w:ascii="Calibri" w:hAnsi="Calibri"/>
                <w:sz w:val="17"/>
              </w:rPr>
              <w:t xml:space="preserve">G, Q, FS, FC</w:t>
            </w:r>
          </w:p>
        </w:tc>
        <w:tc>
          <w:tcPr>
            <w:tcW w:type="dxa" w:w="2749"/>
          </w:tcPr>
          <w:p>
            <w:pPr>
              <w:pStyle w:val="BodyText"/>
              <w:keepNext w:val="0"/>
              <w:spacing w:after="80" w:line="252" w:lineRule="auto"/>
              <w:jc w:val="left"/>
            </w:pPr>
            <w:r>
              <w:rPr>
                <w:rFonts w:ascii="Calibri" w:hAnsi="Calibri"/>
                <w:sz w:val="17"/>
              </w:rPr>
              <w:t xml:space="preserve">Source-related content can be truly manifested while a finite realization fails to match unlimited source actuality. Objective expression is not yet warranted recognition. A finite proposition can be exactly true; the mode comparison does not disqualify every representation or infinite aggregate.</w:t>
            </w:r>
          </w:p>
        </w:tc>
      </w:tr>
      <w:tr>
        <w:tc>
          <w:tcPr>
            <w:tcW w:type="dxa" w:w="1689"/>
          </w:tcPr>
          <w:p>
            <w:pPr>
              <w:pStyle w:val="BodyText"/>
              <w:keepNext w:val="0"/>
              <w:spacing w:after="80" w:line="252" w:lineRule="auto"/>
              <w:jc w:val="left"/>
            </w:pPr>
            <w:r>
              <w:rPr>
                <w:rFonts w:ascii="Calibri" w:hAnsi="Calibri"/>
                <w:sz w:val="17"/>
              </w:rPr>
              <w:t xml:space="preserve">T8</w:t>
            </w:r>
          </w:p>
        </w:tc>
        <w:tc>
          <w:tcPr>
            <w:tcW w:type="dxa" w:w="2749"/>
          </w:tcPr>
          <w:p>
            <w:pPr>
              <w:pStyle w:val="BodyText"/>
              <w:keepNext w:val="0"/>
              <w:spacing w:after="80" w:line="252" w:lineRule="auto"/>
              <w:jc w:val="left"/>
            </w:pPr>
            <w:r>
              <w:rPr>
                <w:rFonts w:ascii="Calibri" w:hAnsi="Calibri"/>
                <w:b/>
                <w:bCs/>
                <w:sz w:val="17"/>
              </w:rPr>
              <w:t xml:space="preserve">Real communication without source-completion</w:t>
            </w:r>
            <w:r>
              <w:rPr>
                <w:rFonts w:ascii="Calibri" w:hAnsi="Calibri"/>
                <w:sz w:val="17"/>
              </w:rPr>
              <w:br/>
            </w:r>
            <w:r>
              <w:rPr>
                <w:rFonts w:ascii="Calibri" w:hAnsi="Calibri"/>
                <w:sz w:val="17"/>
              </w:rPr>
              <w:t xml:space="preserve">Conditional</w:t>
            </w:r>
          </w:p>
        </w:tc>
        <w:tc>
          <w:tcPr>
            <w:tcW w:type="dxa" w:w="2749"/>
          </w:tcPr>
          <w:p>
            <w:pPr>
              <w:pStyle w:val="BodyText"/>
              <w:keepNext w:val="0"/>
              <w:spacing w:after="80" w:line="252" w:lineRule="auto"/>
              <w:jc w:val="left"/>
            </w:pPr>
            <w:r>
              <w:rPr>
                <w:rFonts w:ascii="Calibri" w:hAnsi="Calibri"/>
                <w:sz w:val="17"/>
              </w:rPr>
              <w:t xml:space="preserve">G, CP, Q, U, X</w:t>
            </w:r>
          </w:p>
        </w:tc>
        <w:tc>
          <w:tcPr>
            <w:tcW w:type="dxa" w:w="2749"/>
          </w:tcPr>
          <w:p>
            <w:pPr>
              <w:pStyle w:val="BodyText"/>
              <w:keepNext w:val="0"/>
              <w:spacing w:after="80" w:line="252" w:lineRule="auto"/>
              <w:jc w:val="left"/>
            </w:pPr>
            <w:r>
              <w:rPr>
                <w:rFonts w:ascii="Calibri" w:hAnsi="Calibri"/>
                <w:sz w:val="17"/>
              </w:rPr>
              <w:t xml:space="preserve">H places the received perfection really in the participant; C gives its productive origin. Nonpartition is established separately by T1. U excludes completion grounded in the effect; X additionally excludes intrinsic gain correlated with different communications.</w:t>
            </w:r>
          </w:p>
        </w:tc>
      </w:tr>
      <w:tr>
        <w:tc>
          <w:tcPr>
            <w:tcW w:type="dxa" w:w="1689"/>
          </w:tcPr>
          <w:p>
            <w:pPr>
              <w:pStyle w:val="BodyText"/>
              <w:keepNext w:val="0"/>
              <w:spacing w:after="80" w:line="252" w:lineRule="auto"/>
              <w:jc w:val="left"/>
            </w:pPr>
            <w:r>
              <w:rPr>
                <w:rFonts w:ascii="Calibri" w:hAnsi="Calibri"/>
                <w:sz w:val="17"/>
              </w:rPr>
              <w:t xml:space="preserve">T9</w:t>
            </w:r>
          </w:p>
        </w:tc>
        <w:tc>
          <w:tcPr>
            <w:tcW w:type="dxa" w:w="2749"/>
          </w:tcPr>
          <w:p>
            <w:pPr>
              <w:pStyle w:val="BodyText"/>
              <w:keepNext w:val="0"/>
              <w:spacing w:after="80" w:line="252" w:lineRule="auto"/>
              <w:jc w:val="left"/>
            </w:pPr>
            <w:r>
              <w:rPr>
                <w:rFonts w:ascii="Calibri" w:hAnsi="Calibri"/>
                <w:b/>
                <w:bCs/>
                <w:sz w:val="17"/>
              </w:rPr>
              <w:t xml:space="preserve">Creaturely perfection without independent Forms</w:t>
            </w:r>
            <w:r>
              <w:rPr>
                <w:rFonts w:ascii="Calibri" w:hAnsi="Calibri"/>
                <w:sz w:val="17"/>
              </w:rPr>
              <w:br/>
            </w:r>
            <w:r>
              <w:rPr>
                <w:rFonts w:ascii="Calibri" w:hAnsi="Calibri"/>
                <w:sz w:val="17"/>
              </w:rPr>
              <w:t xml:space="preserve">Economy, not exclusion</w:t>
            </w:r>
          </w:p>
        </w:tc>
        <w:tc>
          <w:tcPr>
            <w:tcW w:type="dxa" w:w="2749"/>
          </w:tcPr>
          <w:p>
            <w:pPr>
              <w:pStyle w:val="BodyText"/>
              <w:keepNext w:val="0"/>
              <w:spacing w:after="80" w:line="252" w:lineRule="auto"/>
              <w:jc w:val="left"/>
            </w:pPr>
            <w:r>
              <w:rPr>
                <w:rFonts w:ascii="Calibri" w:hAnsi="Calibri"/>
                <w:sz w:val="17"/>
              </w:rPr>
              <w:t xml:space="preserve">G, Q</w:t>
            </w:r>
          </w:p>
        </w:tc>
        <w:tc>
          <w:tcPr>
            <w:tcW w:type="dxa" w:w="2749"/>
          </w:tcPr>
          <w:p>
            <w:pPr>
              <w:pStyle w:val="BodyText"/>
              <w:keepNext w:val="0"/>
              <w:spacing w:after="80" w:line="252" w:lineRule="auto"/>
              <w:jc w:val="left"/>
            </w:pPr>
            <w:r>
              <w:rPr>
                <w:rFonts w:ascii="Calibri" w:hAnsi="Calibri"/>
                <w:sz w:val="17"/>
              </w:rPr>
              <w:t xml:space="preserve">H records what the creature really possesses; q indexes intelligible content without introducing an actual detached Form. An independently existing Form is unnecessary for this account of sourced perfection. Its nonexistence requires an additional ontological closure principle.</w:t>
            </w:r>
          </w:p>
        </w:tc>
      </w:tr>
      <w:tr>
        <w:tc>
          <w:tcPr>
            <w:tcW w:type="dxa" w:w="1689"/>
          </w:tcPr>
          <w:p>
            <w:pPr>
              <w:pStyle w:val="BodyText"/>
              <w:keepNext w:val="0"/>
              <w:spacing w:after="80" w:line="252" w:lineRule="auto"/>
              <w:jc w:val="left"/>
            </w:pPr>
            <w:r>
              <w:rPr>
                <w:rFonts w:ascii="Calibri" w:hAnsi="Calibri"/>
                <w:sz w:val="17"/>
              </w:rPr>
              <w:t xml:space="preserve">T10</w:t>
            </w:r>
          </w:p>
        </w:tc>
        <w:tc>
          <w:tcPr>
            <w:tcW w:type="dxa" w:w="2749"/>
          </w:tcPr>
          <w:p>
            <w:pPr>
              <w:pStyle w:val="BodyText"/>
              <w:keepNext w:val="0"/>
              <w:spacing w:after="80" w:line="252" w:lineRule="auto"/>
              <w:jc w:val="left"/>
            </w:pPr>
            <w:r>
              <w:rPr>
                <w:rFonts w:ascii="Calibri" w:hAnsi="Calibri"/>
                <w:b/>
                <w:bCs/>
                <w:sz w:val="17"/>
              </w:rPr>
              <w:t xml:space="preserve">Divine immanence without pantheistic identity</w:t>
            </w:r>
            <w:r>
              <w:rPr>
                <w:rFonts w:ascii="Calibri" w:hAnsi="Calibri"/>
                <w:sz w:val="17"/>
              </w:rPr>
              <w:br/>
            </w:r>
            <w:r>
              <w:rPr>
                <w:rFonts w:ascii="Calibri" w:hAnsi="Calibri"/>
                <w:sz w:val="17"/>
              </w:rPr>
              <w:t xml:space="preserve">Conditional</w:t>
            </w:r>
          </w:p>
        </w:tc>
        <w:tc>
          <w:tcPr>
            <w:tcW w:type="dxa" w:w="2749"/>
          </w:tcPr>
          <w:p>
            <w:pPr>
              <w:pStyle w:val="BodyText"/>
              <w:keepNext w:val="0"/>
              <w:spacing w:after="80" w:line="252" w:lineRule="auto"/>
              <w:jc w:val="left"/>
            </w:pPr>
            <w:r>
              <w:rPr>
                <w:rFonts w:ascii="Calibri" w:hAnsi="Calibri"/>
                <w:sz w:val="17"/>
              </w:rPr>
              <w:t xml:space="preserve">G, CP, U, KH, FS, FC</w:t>
            </w:r>
          </w:p>
        </w:tc>
        <w:tc>
          <w:tcPr>
            <w:tcW w:type="dxa" w:w="2749"/>
          </w:tcPr>
          <w:p>
            <w:pPr>
              <w:pStyle w:val="BodyText"/>
              <w:keepNext w:val="0"/>
              <w:spacing w:after="80" w:line="252" w:lineRule="auto"/>
              <w:jc w:val="left"/>
            </w:pPr>
            <w:r>
              <w:rPr>
                <w:rFonts w:ascii="Calibri" w:hAnsi="Calibri"/>
                <w:sz w:val="17"/>
              </w:rPr>
              <w:t xml:space="preserve">Present sustaining causality and source–effect nonidentity jointly hold. This excludes identity-pantheism; “panentheism” remains too varied a label to refute by one theorem.</w:t>
            </w:r>
          </w:p>
        </w:tc>
      </w:tr>
      <w:tr>
        <w:tc>
          <w:tcPr>
            <w:tcW w:type="dxa" w:w="1689"/>
          </w:tcPr>
          <w:p>
            <w:pPr>
              <w:pStyle w:val="BodyText"/>
              <w:keepNext w:val="0"/>
              <w:spacing w:after="80" w:line="252" w:lineRule="auto"/>
              <w:jc w:val="left"/>
            </w:pPr>
            <w:r>
              <w:rPr>
                <w:rFonts w:ascii="Calibri" w:hAnsi="Calibri"/>
                <w:sz w:val="17"/>
              </w:rPr>
              <w:t xml:space="preserve">T11</w:t>
            </w:r>
          </w:p>
        </w:tc>
        <w:tc>
          <w:tcPr>
            <w:tcW w:type="dxa" w:w="2749"/>
          </w:tcPr>
          <w:p>
            <w:pPr>
              <w:pStyle w:val="BodyText"/>
              <w:keepNext w:val="0"/>
              <w:spacing w:after="80" w:line="252" w:lineRule="auto"/>
              <w:jc w:val="left"/>
            </w:pPr>
            <w:r>
              <w:rPr>
                <w:rFonts w:ascii="Calibri" w:hAnsi="Calibri"/>
                <w:b/>
                <w:bCs/>
                <w:sz w:val="17"/>
              </w:rPr>
              <w:t xml:space="preserve">Asymmetric Creator–creature relation</w:t>
            </w:r>
            <w:r>
              <w:rPr>
                <w:rFonts w:ascii="Calibri" w:hAnsi="Calibri"/>
                <w:sz w:val="17"/>
              </w:rPr>
              <w:br/>
            </w:r>
            <w:r>
              <w:rPr>
                <w:rFonts w:ascii="Calibri" w:hAnsi="Calibri"/>
                <w:sz w:val="17"/>
              </w:rPr>
              <w:t xml:space="preserve">Qualified</w:t>
            </w:r>
          </w:p>
        </w:tc>
        <w:tc>
          <w:tcPr>
            <w:tcW w:type="dxa" w:w="2749"/>
          </w:tcPr>
          <w:p>
            <w:pPr>
              <w:pStyle w:val="BodyText"/>
              <w:keepNext w:val="0"/>
              <w:spacing w:after="80" w:line="252" w:lineRule="auto"/>
              <w:jc w:val="left"/>
            </w:pPr>
            <w:r>
              <w:rPr>
                <w:rFonts w:ascii="Calibri" w:hAnsi="Calibri"/>
                <w:sz w:val="17"/>
              </w:rPr>
              <w:t xml:space="preserve">G, CP, U, X</w:t>
            </w:r>
          </w:p>
        </w:tc>
        <w:tc>
          <w:tcPr>
            <w:tcW w:type="dxa" w:w="2749"/>
          </w:tcPr>
          <w:p>
            <w:pPr>
              <w:pStyle w:val="BodyText"/>
              <w:keepNext w:val="0"/>
              <w:spacing w:after="80" w:line="252" w:lineRule="auto"/>
              <w:jc w:val="left"/>
            </w:pPr>
            <w:r>
              <w:rPr>
                <w:rFonts w:ascii="Calibri" w:hAnsi="Calibri"/>
                <w:sz w:val="17"/>
              </w:rPr>
              <w:t xml:space="preserve">D is an actual creaturely grounding fact; source intrinsic actuality is not constituted by changed effects. Aquinas’s further “real / relation of reason” classification requires a school-specific relational ontology.</w:t>
            </w:r>
          </w:p>
        </w:tc>
      </w:tr>
      <w:tr>
        <w:tc>
          <w:tcPr>
            <w:tcW w:type="dxa" w:w="1689"/>
          </w:tcPr>
          <w:p>
            <w:pPr>
              <w:pStyle w:val="BodyText"/>
              <w:keepNext w:val="0"/>
              <w:spacing w:after="80" w:line="252" w:lineRule="auto"/>
              <w:jc w:val="left"/>
            </w:pPr>
            <w:r>
              <w:rPr>
                <w:rFonts w:ascii="Calibri" w:hAnsi="Calibri"/>
                <w:sz w:val="17"/>
              </w:rPr>
              <w:t xml:space="preserve">T12</w:t>
            </w:r>
          </w:p>
        </w:tc>
        <w:tc>
          <w:tcPr>
            <w:tcW w:type="dxa" w:w="2749"/>
          </w:tcPr>
          <w:p>
            <w:pPr>
              <w:pStyle w:val="BodyText"/>
              <w:keepNext w:val="0"/>
              <w:spacing w:after="80" w:line="252" w:lineRule="auto"/>
              <w:jc w:val="left"/>
            </w:pPr>
            <w:r>
              <w:rPr>
                <w:rFonts w:ascii="Calibri" w:hAnsi="Calibri"/>
                <w:b/>
                <w:bCs/>
                <w:sz w:val="17"/>
              </w:rPr>
              <w:t xml:space="preserve">Finite measure belongs to the recipient</w:t>
            </w:r>
            <w:r>
              <w:rPr>
                <w:rFonts w:ascii="Calibri" w:hAnsi="Calibri"/>
                <w:sz w:val="17"/>
              </w:rPr>
              <w:br/>
            </w:r>
            <w:r>
              <w:rPr>
                <w:rFonts w:ascii="Calibri" w:hAnsi="Calibri"/>
                <w:sz w:val="17"/>
              </w:rPr>
              <w:t xml:space="preserve">Indexed fact</w:t>
            </w:r>
          </w:p>
        </w:tc>
        <w:tc>
          <w:tcPr>
            <w:tcW w:type="dxa" w:w="2749"/>
          </w:tcPr>
          <w:p>
            <w:pPr>
              <w:pStyle w:val="BodyText"/>
              <w:keepNext w:val="0"/>
              <w:spacing w:after="80" w:line="252" w:lineRule="auto"/>
              <w:jc w:val="left"/>
            </w:pPr>
            <w:r>
              <w:rPr>
                <w:rFonts w:ascii="Calibri" w:hAnsi="Calibri"/>
                <w:sz w:val="17"/>
              </w:rPr>
              <w:t xml:space="preserve">FS, FC</w:t>
            </w:r>
          </w:p>
        </w:tc>
        <w:tc>
          <w:tcPr>
            <w:tcW w:type="dxa" w:w="2749"/>
          </w:tcPr>
          <w:p>
            <w:pPr>
              <w:pStyle w:val="BodyText"/>
              <w:keepNext w:val="0"/>
              <w:spacing w:after="80" w:line="252" w:lineRule="auto"/>
              <w:jc w:val="left"/>
            </w:pPr>
            <w:r>
              <w:rPr>
                <w:rFonts w:ascii="Calibri" w:hAnsi="Calibri"/>
                <w:sz w:val="17"/>
              </w:rPr>
              <w:t xml:space="preserve">H indexes mode to its subject. FC bounds creatures; FS independently leaves the source unbounded. Subject-indexing alone would never prove divine infinity.</w:t>
            </w:r>
          </w:p>
        </w:tc>
      </w:tr>
      <w:tr>
        <w:tc>
          <w:tcPr>
            <w:tcW w:type="dxa" w:w="1689"/>
          </w:tcPr>
          <w:p>
            <w:pPr>
              <w:pStyle w:val="BodyText"/>
              <w:keepNext w:val="0"/>
              <w:spacing w:after="80" w:line="252" w:lineRule="auto"/>
              <w:jc w:val="left"/>
            </w:pPr>
            <w:r>
              <w:rPr>
                <w:rFonts w:ascii="Calibri" w:hAnsi="Calibri"/>
                <w:sz w:val="17"/>
              </w:rPr>
              <w:t xml:space="preserve">T13</w:t>
            </w:r>
          </w:p>
        </w:tc>
        <w:tc>
          <w:tcPr>
            <w:tcW w:type="dxa" w:w="2749"/>
          </w:tcPr>
          <w:p>
            <w:pPr>
              <w:pStyle w:val="BodyText"/>
              <w:keepNext w:val="0"/>
              <w:spacing w:after="80" w:line="252" w:lineRule="auto"/>
              <w:jc w:val="left"/>
            </w:pPr>
            <w:r>
              <w:rPr>
                <w:rFonts w:ascii="Calibri" w:hAnsi="Calibri"/>
                <w:b/>
                <w:bCs/>
                <w:sz w:val="17"/>
              </w:rPr>
              <w:t xml:space="preserve">Many expressions, no multiplied source</w:t>
            </w:r>
            <w:r>
              <w:rPr>
                <w:rFonts w:ascii="Calibri" w:hAnsi="Calibri"/>
                <w:sz w:val="17"/>
              </w:rPr>
              <w:br/>
            </w:r>
            <w:r>
              <w:rPr>
                <w:rFonts w:ascii="Calibri" w:hAnsi="Calibri"/>
                <w:sz w:val="17"/>
              </w:rPr>
              <w:t xml:space="preserve">Non-entailment</w:t>
            </w:r>
          </w:p>
        </w:tc>
        <w:tc>
          <w:tcPr>
            <w:tcW w:type="dxa" w:w="2749"/>
          </w:tcPr>
          <w:p>
            <w:pPr>
              <w:pStyle w:val="BodyText"/>
              <w:keepNext w:val="0"/>
              <w:spacing w:after="80" w:line="252" w:lineRule="auto"/>
              <w:jc w:val="left"/>
            </w:pPr>
            <w:r>
              <w:rPr>
                <w:rFonts w:ascii="Calibri" w:hAnsi="Calibri"/>
                <w:sz w:val="17"/>
              </w:rPr>
              <w:t xml:space="preserve">G, CP, U, KD, X</w:t>
            </w:r>
          </w:p>
        </w:tc>
        <w:tc>
          <w:tcPr>
            <w:tcW w:type="dxa" w:w="2749"/>
          </w:tcPr>
          <w:p>
            <w:pPr>
              <w:pStyle w:val="BodyText"/>
              <w:keepNext w:val="0"/>
              <w:spacing w:after="80" w:line="252" w:lineRule="auto"/>
              <w:jc w:val="left"/>
            </w:pPr>
            <w:r>
              <w:rPr>
                <w:rFonts w:ascii="Calibri" w:hAnsi="Calibri"/>
                <w:sz w:val="17"/>
              </w:rPr>
              <w:t xml:space="preserve">KD + U exclude composition of g; X allows multiple created effects with unchanged intrinsic source actuality. Many effects do not entail many divine constituents. This does not settle formalities or energies.</w:t>
            </w:r>
          </w:p>
        </w:tc>
      </w:tr>
      <w:tr>
        <w:tc>
          <w:tcPr>
            <w:tcW w:type="dxa" w:w="1689"/>
          </w:tcPr>
          <w:p>
            <w:pPr>
              <w:pStyle w:val="BodyText"/>
              <w:keepNext w:val="0"/>
              <w:spacing w:after="80" w:line="252" w:lineRule="auto"/>
              <w:jc w:val="left"/>
            </w:pPr>
            <w:r>
              <w:rPr>
                <w:rFonts w:ascii="Calibri" w:hAnsi="Calibri"/>
                <w:sz w:val="17"/>
              </w:rPr>
              <w:t xml:space="preserve">T14</w:t>
            </w:r>
          </w:p>
        </w:tc>
        <w:tc>
          <w:tcPr>
            <w:tcW w:type="dxa" w:w="2749"/>
          </w:tcPr>
          <w:p>
            <w:pPr>
              <w:pStyle w:val="BodyText"/>
              <w:keepNext w:val="0"/>
              <w:spacing w:after="80" w:line="252" w:lineRule="auto"/>
              <w:jc w:val="left"/>
            </w:pPr>
            <w:r>
              <w:rPr>
                <w:rFonts w:ascii="Calibri" w:hAnsi="Calibri"/>
                <w:b/>
                <w:bCs/>
                <w:sz w:val="17"/>
              </w:rPr>
              <w:t xml:space="preserve">No finite participation measures the unlimited source</w:t>
            </w:r>
            <w:r>
              <w:rPr>
                <w:rFonts w:ascii="Calibri" w:hAnsi="Calibri"/>
                <w:sz w:val="17"/>
              </w:rPr>
              <w:br/>
            </w:r>
            <w:r>
              <w:rPr>
                <w:rFonts w:ascii="Calibri" w:hAnsi="Calibri"/>
                <w:sz w:val="17"/>
              </w:rPr>
              <w:t xml:space="preserve">Conditional</w:t>
            </w:r>
          </w:p>
        </w:tc>
        <w:tc>
          <w:tcPr>
            <w:tcW w:type="dxa" w:w="2749"/>
          </w:tcPr>
          <w:p>
            <w:pPr>
              <w:pStyle w:val="BodyText"/>
              <w:keepNext w:val="0"/>
              <w:spacing w:after="80" w:line="252" w:lineRule="auto"/>
              <w:jc w:val="left"/>
            </w:pPr>
            <w:r>
              <w:rPr>
                <w:rFonts w:ascii="Calibri" w:hAnsi="Calibri"/>
                <w:sz w:val="17"/>
              </w:rPr>
              <w:t xml:space="preserve">FS, FC</w:t>
            </w:r>
          </w:p>
        </w:tc>
        <w:tc>
          <w:tcPr>
            <w:tcW w:type="dxa" w:w="2749"/>
          </w:tcPr>
          <w:p>
            <w:pPr>
              <w:pStyle w:val="BodyText"/>
              <w:keepNext w:val="0"/>
              <w:spacing w:after="80" w:line="252" w:lineRule="auto"/>
              <w:jc w:val="left"/>
            </w:pPr>
            <w:r>
              <w:rPr>
                <w:rFonts w:ascii="Calibri" w:hAnsi="Calibri"/>
                <w:sz w:val="17"/>
              </w:rPr>
              <w:t xml:space="preserve">For actuality e, every finite μₑ(x) is strictly below μₑ(g). For another perfection q, add unlimitedness of the source and boundedness of that participation in that very respect.</w:t>
            </w:r>
          </w:p>
        </w:tc>
      </w:tr>
      <w:tr>
        <w:tc>
          <w:tcPr>
            <w:tcW w:type="dxa" w:w="1689"/>
          </w:tcPr>
          <w:p>
            <w:pPr>
              <w:pStyle w:val="BodyText"/>
              <w:keepNext w:val="0"/>
              <w:spacing w:after="80" w:line="252" w:lineRule="auto"/>
              <w:jc w:val="left"/>
            </w:pPr>
            <w:r>
              <w:rPr>
                <w:rFonts w:ascii="Calibri" w:hAnsi="Calibri"/>
                <w:sz w:val="17"/>
              </w:rPr>
              <w:t xml:space="preserve">T15</w:t>
            </w:r>
          </w:p>
        </w:tc>
        <w:tc>
          <w:tcPr>
            <w:tcW w:type="dxa" w:w="2749"/>
          </w:tcPr>
          <w:p>
            <w:pPr>
              <w:pStyle w:val="BodyText"/>
              <w:keepNext w:val="0"/>
              <w:spacing w:after="80" w:line="252" w:lineRule="auto"/>
              <w:jc w:val="left"/>
            </w:pPr>
            <w:r>
              <w:rPr>
                <w:rFonts w:ascii="Calibri" w:hAnsi="Calibri"/>
                <w:b/>
                <w:bCs/>
                <w:sz w:val="17"/>
              </w:rPr>
              <w:t xml:space="preserve">No particular expression necessitated by fullness</w:t>
            </w:r>
            <w:r>
              <w:rPr>
                <w:rFonts w:ascii="Calibri" w:hAnsi="Calibri"/>
                <w:sz w:val="17"/>
              </w:rPr>
              <w:br/>
            </w:r>
            <w:r>
              <w:rPr>
                <w:rFonts w:ascii="Calibri" w:hAnsi="Calibri"/>
                <w:sz w:val="17"/>
              </w:rPr>
              <w:t xml:space="preserve">Extra modal premise</w:t>
            </w:r>
          </w:p>
        </w:tc>
        <w:tc>
          <w:tcPr>
            <w:tcW w:type="dxa" w:w="2749"/>
          </w:tcPr>
          <w:p>
            <w:pPr>
              <w:pStyle w:val="BodyText"/>
              <w:keepNext w:val="0"/>
              <w:spacing w:after="80" w:line="252" w:lineRule="auto"/>
              <w:jc w:val="left"/>
            </w:pPr>
            <w:r>
              <w:rPr>
                <w:rFonts w:ascii="Calibri" w:hAnsi="Calibri"/>
                <w:sz w:val="17"/>
              </w:rPr>
              <w:t xml:space="preserve">X, V</w:t>
            </w:r>
          </w:p>
        </w:tc>
        <w:tc>
          <w:tcPr>
            <w:tcW w:type="dxa" w:w="2749"/>
          </w:tcPr>
          <w:p>
            <w:pPr>
              <w:pStyle w:val="BodyText"/>
              <w:keepNext w:val="0"/>
              <w:spacing w:after="80" w:line="252" w:lineRule="auto"/>
              <w:jc w:val="left"/>
            </w:pPr>
            <w:r>
              <w:rPr>
                <w:rFonts w:ascii="Calibri" w:hAnsi="Calibri"/>
                <w:sz w:val="17"/>
              </w:rPr>
              <w:t xml:space="preserve">V supplies a genuine no-creation alternative with the same source fullness, so no finite expression is necessary from that fullness. W is additionally required for intentional free selection. Neither follows from non-exhaustion.</w:t>
            </w:r>
          </w:p>
        </w:tc>
      </w:tr>
    </w:tbl>
    <w:bookmarkEnd w:id="200"/>
    <w:bookmarkStart w:id="201" w:name="step-by-step-the-five-compressed-claims"/>
    <w:p>
      <w:pPr>
        <w:pStyle w:val="Heading3"/>
      </w:pPr>
      <w:r>
        <w:t xml:space="preserve">Step-by-step: the five compressed claims</w:t>
      </w:r>
    </w:p>
    <w:p>
      <w:pPr>
        <w:pStyle w:val="FirstParagraph"/>
      </w:pPr>
      <w:r>
        <w:rPr>
          <w:b/>
          <w:bCs/>
        </w:rPr>
        <w:t xml:space="preserve">1.</w:t>
      </w:r>
      <w:r>
        <w:t xml:space="preserve"> </w:t>
      </w:r>
      <w:r>
        <w:rPr>
          <w:b/>
          <w:bCs/>
        </w:rPr>
        <w:t xml:space="preserve">Dependence without identity:</w:t>
      </w:r>
      <w:r>
        <w:t xml:space="preserve"> </w:t>
      </w:r>
      <w:r>
        <w:t xml:space="preserve">C(g,x,e) yields D(x,g,e) by CP. If x = g, U is contradicted. Neither difference nor identity was included in Rec.</w:t>
      </w:r>
    </w:p>
    <w:p>
      <w:pPr>
        <w:pStyle w:val="BodyText"/>
      </w:pPr>
      <w:r>
        <w:rPr>
          <w:b/>
          <w:bCs/>
        </w:rPr>
        <w:t xml:space="preserve">2.</w:t>
      </w:r>
      <w:r>
        <w:t xml:space="preserve"> </w:t>
      </w:r>
      <w:r>
        <w:rPr>
          <w:b/>
          <w:bCs/>
        </w:rPr>
        <w:t xml:space="preserve">Likeness without partition:</w:t>
      </w:r>
      <w:r>
        <w:t xml:space="preserve"> </w:t>
      </w:r>
      <w:r>
        <w:t xml:space="preserve">an actual H(x,q,m) caused by g yields H(g,q,n) by Q. KD + U forbid constituents of g. KH + FS + FC forbid g as a constituent of x.</w:t>
      </w:r>
    </w:p>
    <w:p>
      <w:pPr>
        <w:pStyle w:val="BodyText"/>
      </w:pPr>
      <w:r>
        <w:rPr>
          <w:b/>
          <w:bCs/>
        </w:rPr>
        <w:t xml:space="preserve">3.</w:t>
      </w:r>
      <w:r>
        <w:t xml:space="preserve"> </w:t>
      </w:r>
      <w:r>
        <w:rPr>
          <w:b/>
          <w:bCs/>
        </w:rPr>
        <w:t xml:space="preserve">Likeness without genus:</w:t>
      </w:r>
      <w:r>
        <w:t xml:space="preserve"> </w:t>
      </w:r>
      <w:r>
        <w:t xml:space="preserve">shared H is insufficient for genus-membership. To exclude a natural genus, add N’s composition account; KD + U then rule it out. Logical common predicates remain possible.</w:t>
      </w:r>
    </w:p>
    <w:p>
      <w:pPr>
        <w:pStyle w:val="BodyText"/>
      </w:pPr>
      <w:r>
        <w:rPr>
          <w:b/>
          <w:bCs/>
        </w:rPr>
        <w:t xml:space="preserve">4.</w:t>
      </w:r>
      <w:r>
        <w:t xml:space="preserve"> </w:t>
      </w:r>
      <w:r>
        <w:rPr>
          <w:b/>
          <w:bCs/>
        </w:rPr>
        <w:t xml:space="preserve">Transcendence without distance:</w:t>
      </w:r>
      <w:r>
        <w:t xml:space="preserve"> </w:t>
      </w:r>
      <w:r>
        <w:t xml:space="preserve">FS + FC establish unequal modes, while G gives present causation. No spatial or temporal separation is needed. A full doctrine of divine nonlocality needs a further account of spatiality.</w:t>
      </w:r>
    </w:p>
    <w:p>
      <w:pPr>
        <w:pStyle w:val="BodyText"/>
      </w:pPr>
      <w:r>
        <w:rPr>
          <w:b/>
          <w:bCs/>
        </w:rPr>
        <w:t xml:space="preserve">5.</w:t>
      </w:r>
      <w:r>
        <w:t xml:space="preserve"> </w:t>
      </w:r>
      <w:r>
        <w:rPr>
          <w:b/>
          <w:bCs/>
        </w:rPr>
        <w:t xml:space="preserve">Dependence without rivalry:</w:t>
      </w:r>
      <w:r>
        <w:t xml:space="preserve"> </w:t>
      </w:r>
      <w:r>
        <w:t xml:space="preserve">universal divine causality is compatible with genuine created causes. To establish real creaturely agency, add actual secondary powers and their ordered concurrence. The base alone still admits occasionalism.</w:t>
      </w:r>
    </w:p>
    <w:bookmarkEnd w:id="201"/>
    <w:p>
      <w:pPr>
        <w:pStyle w:val="BodyText"/>
      </w:pPr>
      <w:r>
        <w:rPr>
          <w:b/>
          <w:bCs/>
        </w:rPr>
        <w:t xml:space="preserve">The five-line formula is insufficient.</w:t>
      </w:r>
      <w:r>
        <w:t xml:space="preserve"> </w:t>
      </w:r>
      <w:r>
        <w:t xml:space="preserve">It needs a positive-perfection bridge, a theory of constitution, and explicit assumptions about the source. The fuller Christian account also needs free intentional creation, genuine secondary agency, and a defended account of ex nihilo: production without an uncreated material co-source or divine material. Ex nihilo does not entail a temporal first instant.</w:t>
      </w:r>
    </w:p>
    <w:p>
      <w:pPr>
        <w:pStyle w:val="BodyText"/>
      </w:pPr>
      <w:r>
        <w:t xml:space="preserve">04 / THE DELETION LAB</w:t>
      </w:r>
    </w:p>
    <w:bookmarkStart w:id="202" w:name="X6d37b88cd5cb107428d11e7e37725266da9e200"/>
    <w:p>
      <w:pPr>
        <w:pStyle w:val="Heading2"/>
      </w:pPr>
      <w:r>
        <w:t xml:space="preserve">Remove a clause.</w:t>
      </w:r>
      <w:r>
        <w:br/>
      </w:r>
      <w:r>
        <w:t xml:space="preserve">Watch the argument lose a step.</w:t>
      </w:r>
    </w:p>
    <w:p>
      <w:pPr>
        <w:pStyle w:val="FirstParagraph"/>
      </w:pPr>
      <w:r>
        <w:t xml:space="preserve">The explorer tracks the stated proof paths. A missing path is not a proof of underivability by every imaginable alternative argument. Countermodels and their scope are documented in the formal dossier.</w:t>
      </w:r>
    </w:p>
    <w:bookmarkEnd w:id="202"/>
    <w:bookmarkStart w:id="203" w:name="select-your-commitments"/>
    <w:p>
      <w:pPr>
        <w:pStyle w:val="Heading3"/>
      </w:pPr>
      <w:r>
        <w:t xml:space="preserve">Select your commitments</w:t>
      </w:r>
    </w:p>
    <w:p>
      <w:pPr>
        <w:pStyle w:val="FirstParagraph"/>
      </w:pPr>
      <w:r>
        <w:t xml:space="preserve">G</w:t>
      </w:r>
      <w:r>
        <w:t xml:space="preserve">Universal sustaining causality</w:t>
      </w:r>
    </w:p>
    <w:p>
      <w:pPr>
        <w:pStyle w:val="BodyText"/>
      </w:pPr>
      <w:r>
        <w:t xml:space="preserve">CP</w:t>
      </w:r>
      <w:r>
        <w:t xml:space="preserve">Causal dependence</w:t>
      </w:r>
    </w:p>
    <w:p>
      <w:pPr>
        <w:pStyle w:val="BodyText"/>
      </w:pPr>
      <w:r>
        <w:t xml:space="preserve">U</w:t>
      </w:r>
      <w:r>
        <w:t xml:space="preserve">The source depends on nothing</w:t>
      </w:r>
    </w:p>
    <w:p>
      <w:pPr>
        <w:pStyle w:val="BodyText"/>
      </w:pPr>
      <w:r>
        <w:t xml:space="preserve">Q</w:t>
      </w:r>
      <w:r>
        <w:t xml:space="preserve">Causal adequacy of the ultimate source</w:t>
      </w:r>
    </w:p>
    <w:p>
      <w:pPr>
        <w:pStyle w:val="BodyText"/>
      </w:pPr>
      <w:r>
        <w:t xml:space="preserve">KD</w:t>
      </w:r>
      <w:r>
        <w:t xml:space="preserve">Composition entails dependence</w:t>
      </w:r>
    </w:p>
    <w:p>
      <w:pPr>
        <w:pStyle w:val="BodyText"/>
      </w:pPr>
      <w:r>
        <w:t xml:space="preserve">KH</w:t>
      </w:r>
      <w:r>
        <w:t xml:space="preserve">Constituents do not exceed the whole</w:t>
      </w:r>
    </w:p>
    <w:p>
      <w:pPr>
        <w:pStyle w:val="BodyText"/>
      </w:pPr>
      <w:r>
        <w:t xml:space="preserve">FS</w:t>
      </w:r>
      <w:r>
        <w:t xml:space="preserve">Unbounded source actuality</w:t>
      </w:r>
    </w:p>
    <w:p>
      <w:pPr>
        <w:pStyle w:val="BodyText"/>
      </w:pPr>
      <w:r>
        <w:t xml:space="preserve">FC</w:t>
      </w:r>
      <w:r>
        <w:t xml:space="preserve">Bounded created actuality</w:t>
      </w:r>
    </w:p>
    <w:p>
      <w:pPr>
        <w:pStyle w:val="BodyText"/>
      </w:pPr>
      <w:r>
        <w:t xml:space="preserve">X</w:t>
      </w:r>
      <w:r>
        <w:t xml:space="preserve">Unchanged source across creation alternatives</w:t>
      </w:r>
    </w:p>
    <w:p>
      <w:pPr>
        <w:pStyle w:val="BodyText"/>
      </w:pPr>
      <w:r>
        <w:t xml:space="preserve">N</w:t>
      </w:r>
      <w:r>
        <w:t xml:space="preserve">Natural genus constitutes its members</w:t>
      </w:r>
    </w:p>
    <w:p>
      <w:pPr>
        <w:pStyle w:val="BodyText"/>
      </w:pPr>
      <w:r>
        <w:t xml:space="preserve">V</w:t>
      </w:r>
      <w:r>
        <w:t xml:space="preserve">A genuine no-creation alternative</w:t>
      </w:r>
    </w:p>
    <w:p>
      <w:pPr>
        <w:pStyle w:val="BodyText"/>
      </w:pPr>
      <w:r>
        <w:t xml:space="preserve">W</w:t>
      </w:r>
      <w:r>
        <w:t xml:space="preserve">Intentional self-determination</w:t>
      </w:r>
    </w:p>
    <w:bookmarkEnd w:id="203"/>
    <w:p>
      <w:pPr>
        <w:pStyle w:val="BodyText"/>
      </w:pPr>
      <w:r>
        <w:t xml:space="preserve">13 / 15</w:t>
      </w:r>
    </w:p>
    <w:p>
      <w:pPr>
        <w:pStyle w:val="BodyText"/>
      </w:pPr>
      <w:r>
        <w:t xml:space="preserve">listed proof paths available, including qualified results</w:t>
      </w:r>
    </w:p>
    <w:p>
      <w:pPr>
        <w:pStyle w:val="BodyText"/>
      </w:pPr>
      <w:r>
        <w:t xml:space="preserve">T1</w:t>
      </w:r>
      <w:r>
        <w:t xml:space="preserve">T2</w:t>
      </w:r>
      <w:r>
        <w:t xml:space="preserve">T3</w:t>
      </w:r>
      <w:r>
        <w:t xml:space="preserve">T4</w:t>
      </w:r>
      <w:r>
        <w:t xml:space="preserve">T5</w:t>
      </w:r>
      <w:r>
        <w:t xml:space="preserve">T6</w:t>
      </w:r>
      <w:r>
        <w:t xml:space="preserve">T7</w:t>
      </w:r>
      <w:r>
        <w:t xml:space="preserve">T8</w:t>
      </w:r>
      <w:r>
        <w:t xml:space="preserve">T9</w:t>
      </w:r>
      <w:r>
        <w:t xml:space="preserve">T10</w:t>
      </w:r>
      <w:r>
        <w:t xml:space="preserve">T11</w:t>
      </w:r>
      <w:r>
        <w:t xml:space="preserve">T12</w:t>
      </w:r>
      <w:r>
        <w:t xml:space="preserve">T13</w:t>
      </w:r>
      <w:r>
        <w:t xml:space="preserve">T14</w:t>
      </w:r>
      <w:r>
        <w:t xml:space="preserve">T15</w:t>
      </w:r>
    </w:p>
    <w:p>
      <w:pPr>
        <w:pStyle w:val="BodyText"/>
      </w:pPr>
      <w:r>
        <w:rPr>
          <w:b/>
          <w:bCs/>
        </w:rPr>
        <w:t xml:space="preserve">All nine basic assumptions are selected.</w:t>
      </w:r>
      <w:r>
        <w:t xml:space="preserve">The strict no-common-genus result needs N. Contingency needs V; intentional freedom also needs W. Genuine secondary agency remains a separate commitment.</w:t>
      </w:r>
    </w:p>
    <w:p>
      <w:pPr>
        <w:pStyle w:val="BodyText"/>
      </w:pPr>
      <w:r>
        <w:t xml:space="preserve">V supplies alternatives; W adds intentional freedom. Neither is derived by FS + FC. This is a dependency explorer, not a theorem prover.</w:t>
      </w:r>
    </w:p>
    <w:p>
      <w:pPr>
        <w:pStyle w:val="BodyText"/>
      </w:pPr>
      <w:r>
        <w:t xml:space="preserve">04 / THE INDEPENDENCE AUDIT</w:t>
      </w:r>
    </w:p>
    <w:bookmarkStart w:id="204" w:name="no-deletion-gets-a-free-substitute."/>
    <w:p>
      <w:pPr>
        <w:pStyle w:val="Heading2"/>
      </w:pPr>
      <w:r>
        <w:t xml:space="preserve">No deletion gets a free substitute.</w:t>
      </w:r>
    </w:p>
    <w:p>
      <w:pPr>
        <w:pStyle w:val="FirstParagraph"/>
      </w:pPr>
      <w:r>
        <w:t xml:space="preserve">The countermodels are schematic formal witnesses, not assertions that their rival ontologies are philosophically coherent in every other respect. The formal dossier states actual assignments and retained-clause checks.</w:t>
      </w:r>
    </w:p>
    <w:bookmarkEnd w:id="204"/>
    <w:bookmarkStart w:id="205" w:name="inspect-the-nine-deletion-witnesses"/>
    <w:p>
      <w:pPr>
        <w:pStyle w:val="Heading3"/>
      </w:pPr>
      <w:r>
        <w:t xml:space="preserve">Inspect the nine deletion witnesses</w:t>
      </w:r>
    </w:p>
    <w:tbl>
      <w:tblPr>
        <w:tblStyle w:val="TableGrid"/>
        <w:tblW w:type="dxa" w:w="9936"/>
        <w:jc w:val="left"/>
        <w:tblLayout w:type="fixed"/>
        <w:tblLook w:firstRow="1" w:lastRow="0" w:firstColumn="0" w:lastColumn="0" w:noHBand="0" w:noVBand="0" w:val="0020"/>
      </w:tblPr>
      <w:tblGrid>
        <w:gridCol w:w="3312"/>
        <w:gridCol w:w="3312"/>
        <w:gridCol w:w="3312"/>
      </w:tblGrid>
      <w:tr>
        <w:trPr>
          <w:tblHeader w:val="true"/>
        </w:trPr>
        <w:tc>
          <w:tcPr>
            <w:tcW w:type="dxa" w:w="3312"/>
            <w:shd w:fill="EAE5DA"/>
          </w:tcPr>
          <w:p>
            <w:pPr>
              <w:pStyle w:val="BodyText"/>
              <w:keepNext w:val="0"/>
              <w:spacing w:after="80" w:line="252" w:lineRule="auto"/>
              <w:jc w:val="left"/>
            </w:pPr>
            <w:r>
              <w:rPr>
                <w:rFonts w:ascii="Calibri" w:hAnsi="Calibri"/>
                <w:b/>
                <w:sz w:val="17"/>
              </w:rPr>
              <w:t xml:space="preserve">Remove</w:t>
            </w:r>
          </w:p>
        </w:tc>
        <w:tc>
          <w:tcPr>
            <w:tcW w:type="dxa" w:w="3312"/>
            <w:shd w:fill="EAE5DA"/>
          </w:tcPr>
          <w:p>
            <w:pPr>
              <w:pStyle w:val="BodyText"/>
              <w:keepNext w:val="0"/>
              <w:spacing w:after="80" w:line="252" w:lineRule="auto"/>
              <w:jc w:val="left"/>
            </w:pPr>
            <w:r>
              <w:rPr>
                <w:rFonts w:ascii="Calibri" w:hAnsi="Calibri"/>
                <w:b/>
                <w:sz w:val="17"/>
              </w:rPr>
              <w:t xml:space="preserve">Information lost / rival witness</w:t>
            </w:r>
          </w:p>
        </w:tc>
        <w:tc>
          <w:tcPr>
            <w:tcW w:type="dxa" w:w="3312"/>
            <w:shd w:fill="EAE5DA"/>
          </w:tcPr>
          <w:p>
            <w:pPr>
              <w:pStyle w:val="BodyText"/>
              <w:keepNext w:val="0"/>
              <w:spacing w:after="80" w:line="252" w:lineRule="auto"/>
              <w:jc w:val="left"/>
            </w:pPr>
            <w:r>
              <w:rPr>
                <w:rFonts w:ascii="Calibri" w:hAnsi="Calibri"/>
                <w:b/>
                <w:sz w:val="17"/>
              </w:rPr>
              <w:t xml:space="preserve">Why it matters</w:t>
            </w:r>
          </w:p>
        </w:tc>
      </w:tr>
      <w:tr>
        <w:tc>
          <w:tcPr>
            <w:tcW w:type="dxa" w:w="3312"/>
          </w:tcPr>
          <w:p>
            <w:pPr>
              <w:pStyle w:val="BodyText"/>
              <w:keepNext w:val="0"/>
              <w:spacing w:after="80" w:line="252" w:lineRule="auto"/>
              <w:jc w:val="left"/>
            </w:pPr>
            <w:r>
              <w:rPr>
                <w:rFonts w:ascii="Calibri" w:hAnsi="Calibri"/>
                <w:sz w:val="17"/>
              </w:rPr>
              <w:t xml:space="preserve">G</w:t>
            </w:r>
          </w:p>
        </w:tc>
        <w:tc>
          <w:tcPr>
            <w:tcW w:type="dxa" w:w="3312"/>
          </w:tcPr>
          <w:p>
            <w:pPr>
              <w:pStyle w:val="BodyText"/>
              <w:keepNext w:val="0"/>
              <w:spacing w:after="80" w:line="252" w:lineRule="auto"/>
              <w:jc w:val="left"/>
            </w:pPr>
            <w:r>
              <w:rPr>
                <w:rFonts w:ascii="Calibri" w:hAnsi="Calibri"/>
                <w:sz w:val="17"/>
              </w:rPr>
              <w:t xml:space="preserve">Deistic or immanent remainder: some actual perfection persists without the designated source.</w:t>
            </w:r>
          </w:p>
        </w:tc>
        <w:tc>
          <w:tcPr>
            <w:tcW w:type="dxa" w:w="3312"/>
          </w:tcPr>
          <w:p>
            <w:pPr>
              <w:pStyle w:val="BodyText"/>
              <w:keepNext w:val="0"/>
              <w:spacing w:after="80" w:line="252" w:lineRule="auto"/>
              <w:jc w:val="left"/>
            </w:pPr>
            <w:r>
              <w:rPr>
                <w:rFonts w:ascii="Calibri" w:hAnsi="Calibri"/>
                <w:sz w:val="17"/>
              </w:rPr>
              <w:t xml:space="preserve">A genuinely actual creature with no source remains possible. Dependence “in every moment” cannot then be claimed.</w:t>
            </w:r>
          </w:p>
        </w:tc>
      </w:tr>
      <w:tr>
        <w:tc>
          <w:tcPr>
            <w:tcW w:type="dxa" w:w="3312"/>
          </w:tcPr>
          <w:p>
            <w:pPr>
              <w:pStyle w:val="BodyText"/>
              <w:keepNext w:val="0"/>
              <w:spacing w:after="80" w:line="252" w:lineRule="auto"/>
              <w:jc w:val="left"/>
            </w:pPr>
            <w:r>
              <w:rPr>
                <w:rFonts w:ascii="Calibri" w:hAnsi="Calibri"/>
                <w:sz w:val="17"/>
              </w:rPr>
              <w:t xml:space="preserve">CP</w:t>
            </w:r>
          </w:p>
        </w:tc>
        <w:tc>
          <w:tcPr>
            <w:tcW w:type="dxa" w:w="3312"/>
          </w:tcPr>
          <w:p>
            <w:pPr>
              <w:pStyle w:val="BodyText"/>
              <w:keepNext w:val="0"/>
              <w:spacing w:after="80" w:line="252" w:lineRule="auto"/>
              <w:jc w:val="left"/>
            </w:pPr>
            <w:r>
              <w:rPr>
                <w:rFonts w:ascii="Calibri" w:hAnsi="Calibri"/>
                <w:sz w:val="17"/>
              </w:rPr>
              <w:t xml:space="preserve">A merely succession-based causal model, with C but no corresponding D.</w:t>
            </w:r>
          </w:p>
        </w:tc>
        <w:tc>
          <w:tcPr>
            <w:tcW w:type="dxa" w:w="3312"/>
          </w:tcPr>
          <w:p>
            <w:pPr>
              <w:pStyle w:val="BodyText"/>
              <w:keepNext w:val="0"/>
              <w:spacing w:after="80" w:line="252" w:lineRule="auto"/>
              <w:jc w:val="left"/>
            </w:pPr>
            <w:r>
              <w:rPr>
                <w:rFonts w:ascii="Calibri" w:hAnsi="Calibri"/>
                <w:sz w:val="17"/>
              </w:rPr>
              <w:t xml:space="preserve">Causal arrows can coexist with no ontological dependence. Production no longer establishes the Creator–creature interval.</w:t>
            </w:r>
          </w:p>
        </w:tc>
      </w:tr>
      <w:tr>
        <w:tc>
          <w:tcPr>
            <w:tcW w:type="dxa" w:w="3312"/>
          </w:tcPr>
          <w:p>
            <w:pPr>
              <w:pStyle w:val="BodyText"/>
              <w:keepNext w:val="0"/>
              <w:spacing w:after="80" w:line="252" w:lineRule="auto"/>
              <w:jc w:val="left"/>
            </w:pPr>
            <w:r>
              <w:rPr>
                <w:rFonts w:ascii="Calibri" w:hAnsi="Calibri"/>
                <w:sz w:val="17"/>
              </w:rPr>
              <w:t xml:space="preserve">U</w:t>
            </w:r>
          </w:p>
        </w:tc>
        <w:tc>
          <w:tcPr>
            <w:tcW w:type="dxa" w:w="3312"/>
          </w:tcPr>
          <w:p>
            <w:pPr>
              <w:pStyle w:val="BodyText"/>
              <w:keepNext w:val="0"/>
              <w:spacing w:after="80" w:line="252" w:lineRule="auto"/>
              <w:jc w:val="left"/>
            </w:pPr>
            <w:r>
              <w:rPr>
                <w:rFonts w:ascii="Calibri" w:hAnsi="Calibri"/>
                <w:sz w:val="17"/>
              </w:rPr>
              <w:t xml:space="preserve">A source whose actuality is grounded in an actual creature, despite its unlimited mode.</w:t>
            </w:r>
          </w:p>
        </w:tc>
        <w:tc>
          <w:tcPr>
            <w:tcW w:type="dxa" w:w="3312"/>
          </w:tcPr>
          <w:p>
            <w:pPr>
              <w:pStyle w:val="BodyText"/>
              <w:keepNext w:val="0"/>
              <w:spacing w:after="80" w:line="252" w:lineRule="auto"/>
              <w:jc w:val="left"/>
            </w:pPr>
            <w:r>
              <w:rPr>
                <w:rFonts w:ascii="Calibri" w:hAnsi="Calibri"/>
                <w:sz w:val="17"/>
              </w:rPr>
              <w:t xml:space="preserve">An unlimited source may itself depend upon another. A cycle of grounding or divine completion is admitted.</w:t>
            </w:r>
          </w:p>
        </w:tc>
      </w:tr>
      <w:tr>
        <w:tc>
          <w:tcPr>
            <w:tcW w:type="dxa" w:w="3312"/>
          </w:tcPr>
          <w:p>
            <w:pPr>
              <w:pStyle w:val="BodyText"/>
              <w:keepNext w:val="0"/>
              <w:spacing w:after="80" w:line="252" w:lineRule="auto"/>
              <w:jc w:val="left"/>
            </w:pPr>
            <w:r>
              <w:rPr>
                <w:rFonts w:ascii="Calibri" w:hAnsi="Calibri"/>
                <w:sz w:val="17"/>
              </w:rPr>
              <w:t xml:space="preserve">Q</w:t>
            </w:r>
          </w:p>
        </w:tc>
        <w:tc>
          <w:tcPr>
            <w:tcW w:type="dxa" w:w="3312"/>
          </w:tcPr>
          <w:p>
            <w:pPr>
              <w:pStyle w:val="BodyText"/>
              <w:keepNext w:val="0"/>
              <w:spacing w:after="80" w:line="252" w:lineRule="auto"/>
              <w:jc w:val="left"/>
            </w:pPr>
            <w:r>
              <w:rPr>
                <w:rFonts w:ascii="Calibri" w:hAnsi="Calibri"/>
                <w:sz w:val="17"/>
              </w:rPr>
              <w:t xml:space="preserve">An opaque source causes a living effect while no corresponding life can be attributed to the source.</w:t>
            </w:r>
          </w:p>
        </w:tc>
        <w:tc>
          <w:tcPr>
            <w:tcW w:type="dxa" w:w="3312"/>
          </w:tcPr>
          <w:p>
            <w:pPr>
              <w:pStyle w:val="BodyText"/>
              <w:keepNext w:val="0"/>
              <w:spacing w:after="80" w:line="252" w:lineRule="auto"/>
              <w:jc w:val="left"/>
            </w:pPr>
            <w:r>
              <w:rPr>
                <w:rFonts w:ascii="Calibri" w:hAnsi="Calibri"/>
                <w:sz w:val="17"/>
              </w:rPr>
              <w:t xml:space="preserve">Causation no longer establishes corresponding source-perfection for an additional content q; likeness and manifestation in that respect become underivable. Shared existential actuality can remain.</w:t>
            </w:r>
          </w:p>
        </w:tc>
      </w:tr>
      <w:tr>
        <w:tc>
          <w:tcPr>
            <w:tcW w:type="dxa" w:w="3312"/>
          </w:tcPr>
          <w:p>
            <w:pPr>
              <w:pStyle w:val="BodyText"/>
              <w:keepNext w:val="0"/>
              <w:spacing w:after="80" w:line="252" w:lineRule="auto"/>
              <w:jc w:val="left"/>
            </w:pPr>
            <w:r>
              <w:rPr>
                <w:rFonts w:ascii="Calibri" w:hAnsi="Calibri"/>
                <w:sz w:val="17"/>
              </w:rPr>
              <w:t xml:space="preserve">KD</w:t>
            </w:r>
          </w:p>
        </w:tc>
        <w:tc>
          <w:tcPr>
            <w:tcW w:type="dxa" w:w="3312"/>
          </w:tcPr>
          <w:p>
            <w:pPr>
              <w:pStyle w:val="BodyText"/>
              <w:keepNext w:val="0"/>
              <w:spacing w:after="80" w:line="252" w:lineRule="auto"/>
              <w:jc w:val="left"/>
            </w:pPr>
            <w:r>
              <w:rPr>
                <w:rFonts w:ascii="Calibri" w:hAnsi="Calibri"/>
                <w:sz w:val="17"/>
              </w:rPr>
              <w:t xml:space="preserve">An uncaused but composite deity. Simplicity does not follow from “uncaused” alone.</w:t>
            </w:r>
          </w:p>
        </w:tc>
        <w:tc>
          <w:tcPr>
            <w:tcW w:type="dxa" w:w="3312"/>
          </w:tcPr>
          <w:p>
            <w:pPr>
              <w:pStyle w:val="BodyText"/>
              <w:keepNext w:val="0"/>
              <w:spacing w:after="80" w:line="252" w:lineRule="auto"/>
              <w:jc w:val="left"/>
            </w:pPr>
            <w:r>
              <w:rPr>
                <w:rFonts w:ascii="Calibri" w:hAnsi="Calibri"/>
                <w:sz w:val="17"/>
              </w:rPr>
              <w:t xml:space="preserve">A composite source can simply be stipulated independent of its own intrinsic parts.</w:t>
            </w:r>
          </w:p>
        </w:tc>
      </w:tr>
      <w:tr>
        <w:tc>
          <w:tcPr>
            <w:tcW w:type="dxa" w:w="3312"/>
          </w:tcPr>
          <w:p>
            <w:pPr>
              <w:pStyle w:val="BodyText"/>
              <w:keepNext w:val="0"/>
              <w:spacing w:after="80" w:line="252" w:lineRule="auto"/>
              <w:jc w:val="left"/>
            </w:pPr>
            <w:r>
              <w:rPr>
                <w:rFonts w:ascii="Calibri" w:hAnsi="Calibri"/>
                <w:sz w:val="17"/>
              </w:rPr>
              <w:t xml:space="preserve">KH</w:t>
            </w:r>
          </w:p>
        </w:tc>
        <w:tc>
          <w:tcPr>
            <w:tcW w:type="dxa" w:w="3312"/>
          </w:tcPr>
          <w:p>
            <w:pPr>
              <w:pStyle w:val="BodyText"/>
              <w:keepNext w:val="0"/>
              <w:spacing w:after="80" w:line="252" w:lineRule="auto"/>
              <w:jc w:val="left"/>
            </w:pPr>
            <w:r>
              <w:rPr>
                <w:rFonts w:ascii="Calibri" w:hAnsi="Calibri"/>
                <w:sz w:val="17"/>
              </w:rPr>
              <w:t xml:space="preserve">A panentheistic constituent-model: the source belongs to the creature without transferring its unlimited capacity.</w:t>
            </w:r>
          </w:p>
        </w:tc>
        <w:tc>
          <w:tcPr>
            <w:tcW w:type="dxa" w:w="3312"/>
          </w:tcPr>
          <w:p>
            <w:pPr>
              <w:pStyle w:val="BodyText"/>
              <w:keepNext w:val="0"/>
              <w:spacing w:after="80" w:line="252" w:lineRule="auto"/>
              <w:jc w:val="left"/>
            </w:pPr>
            <w:r>
              <w:rPr>
                <w:rFonts w:ascii="Calibri" w:hAnsi="Calibri"/>
                <w:sz w:val="17"/>
              </w:rPr>
              <w:t xml:space="preserve">An unlimited source may be stipulated an intrinsic constituent of a finite creature.</w:t>
            </w:r>
          </w:p>
        </w:tc>
      </w:tr>
      <w:tr>
        <w:tc>
          <w:tcPr>
            <w:tcW w:type="dxa" w:w="3312"/>
          </w:tcPr>
          <w:p>
            <w:pPr>
              <w:pStyle w:val="BodyText"/>
              <w:keepNext w:val="0"/>
              <w:spacing w:after="80" w:line="252" w:lineRule="auto"/>
              <w:jc w:val="left"/>
            </w:pPr>
            <w:r>
              <w:rPr>
                <w:rFonts w:ascii="Calibri" w:hAnsi="Calibri"/>
                <w:sz w:val="17"/>
              </w:rPr>
              <w:t xml:space="preserve">FS</w:t>
            </w:r>
          </w:p>
        </w:tc>
        <w:tc>
          <w:tcPr>
            <w:tcW w:type="dxa" w:w="3312"/>
          </w:tcPr>
          <w:p>
            <w:pPr>
              <w:pStyle w:val="BodyText"/>
              <w:keepNext w:val="0"/>
              <w:spacing w:after="80" w:line="252" w:lineRule="auto"/>
              <w:jc w:val="left"/>
            </w:pPr>
            <w:r>
              <w:rPr>
                <w:rFonts w:ascii="Calibri" w:hAnsi="Calibri"/>
                <w:sz w:val="17"/>
              </w:rPr>
              <w:t xml:space="preserve">A finite ultimate artisan: underivation and noncomposition remain, but inexhaustibility does not.</w:t>
            </w:r>
          </w:p>
        </w:tc>
        <w:tc>
          <w:tcPr>
            <w:tcW w:type="dxa" w:w="3312"/>
          </w:tcPr>
          <w:p>
            <w:pPr>
              <w:pStyle w:val="BodyText"/>
              <w:keepNext w:val="0"/>
              <w:spacing w:after="80" w:line="252" w:lineRule="auto"/>
              <w:jc w:val="left"/>
            </w:pPr>
            <w:r>
              <w:rPr>
                <w:rFonts w:ascii="Calibri" w:hAnsi="Calibri"/>
                <w:sz w:val="17"/>
              </w:rPr>
              <w:t xml:space="preserve">An underived, simple, finite source is possible; some finite expression can match its measure.</w:t>
            </w:r>
          </w:p>
        </w:tc>
      </w:tr>
      <w:tr>
        <w:tc>
          <w:tcPr>
            <w:tcW w:type="dxa" w:w="3312"/>
          </w:tcPr>
          <w:p>
            <w:pPr>
              <w:pStyle w:val="BodyText"/>
              <w:keepNext w:val="0"/>
              <w:spacing w:after="80" w:line="252" w:lineRule="auto"/>
              <w:jc w:val="left"/>
            </w:pPr>
            <w:r>
              <w:rPr>
                <w:rFonts w:ascii="Calibri" w:hAnsi="Calibri"/>
                <w:sz w:val="17"/>
              </w:rPr>
              <w:t xml:space="preserve">FC</w:t>
            </w:r>
          </w:p>
        </w:tc>
        <w:tc>
          <w:tcPr>
            <w:tcW w:type="dxa" w:w="3312"/>
          </w:tcPr>
          <w:p>
            <w:pPr>
              <w:pStyle w:val="BodyText"/>
              <w:keepNext w:val="0"/>
              <w:spacing w:after="80" w:line="252" w:lineRule="auto"/>
              <w:jc w:val="left"/>
            </w:pPr>
            <w:r>
              <w:rPr>
                <w:rFonts w:ascii="Calibri" w:hAnsi="Calibri"/>
                <w:sz w:val="17"/>
              </w:rPr>
              <w:t xml:space="preserve">An unlimited derived effect that matches the source’s measure without becoming numerically identical.</w:t>
            </w:r>
          </w:p>
        </w:tc>
        <w:tc>
          <w:tcPr>
            <w:tcW w:type="dxa" w:w="3312"/>
          </w:tcPr>
          <w:p>
            <w:pPr>
              <w:pStyle w:val="BodyText"/>
              <w:keepNext w:val="0"/>
              <w:spacing w:after="80" w:line="252" w:lineRule="auto"/>
              <w:jc w:val="left"/>
            </w:pPr>
            <w:r>
              <w:rPr>
                <w:rFonts w:ascii="Calibri" w:hAnsi="Calibri"/>
                <w:sz w:val="17"/>
              </w:rPr>
              <w:t xml:space="preserve">An other can possess the source’s unlimited measure. Nonidentity survives, but finite non-exhaustion is lost.</w:t>
            </w:r>
          </w:p>
        </w:tc>
      </w:tr>
      <w:tr>
        <w:tc>
          <w:tcPr>
            <w:tcW w:type="dxa" w:w="3312"/>
          </w:tcPr>
          <w:p>
            <w:pPr>
              <w:pStyle w:val="BodyText"/>
              <w:keepNext w:val="0"/>
              <w:spacing w:after="80" w:line="252" w:lineRule="auto"/>
              <w:jc w:val="left"/>
            </w:pPr>
            <w:r>
              <w:rPr>
                <w:rFonts w:ascii="Calibri" w:hAnsi="Calibri"/>
                <w:sz w:val="17"/>
              </w:rPr>
              <w:t xml:space="preserve">X</w:t>
            </w:r>
          </w:p>
        </w:tc>
        <w:tc>
          <w:tcPr>
            <w:tcW w:type="dxa" w:w="3312"/>
          </w:tcPr>
          <w:p>
            <w:pPr>
              <w:pStyle w:val="BodyText"/>
              <w:keepNext w:val="0"/>
              <w:spacing w:after="80" w:line="252" w:lineRule="auto"/>
              <w:jc w:val="left"/>
            </w:pPr>
            <w:r>
              <w:rPr>
                <w:rFonts w:ascii="Calibri" w:hAnsi="Calibri"/>
                <w:sz w:val="17"/>
              </w:rPr>
              <w:t xml:space="preserve">An intrinsically responsive deity. Independence within each possible world does not establish the same intrinsic actuality across different possible worlds.</w:t>
            </w:r>
          </w:p>
        </w:tc>
        <w:tc>
          <w:tcPr>
            <w:tcW w:type="dxa" w:w="3312"/>
          </w:tcPr>
          <w:p>
            <w:pPr>
              <w:pStyle w:val="BodyText"/>
              <w:keepNext w:val="0"/>
              <w:spacing w:after="80" w:line="252" w:lineRule="auto"/>
              <w:jc w:val="left"/>
            </w:pPr>
            <w:r>
              <w:rPr>
                <w:rFonts w:ascii="Calibri" w:hAnsi="Calibri"/>
                <w:sz w:val="17"/>
              </w:rPr>
              <w:t xml:space="preserve">Different created histories may be correlated with different intrinsic states of the source, without those effects grounding the source’s actuality within either possible world.</w:t>
            </w:r>
          </w:p>
        </w:tc>
      </w:tr>
    </w:tbl>
    <w:bookmarkEnd w:id="205"/>
    <w:bookmarkStart w:id="206" w:name="rival-ontology-audit"/>
    <w:p>
      <w:pPr>
        <w:pStyle w:val="Heading3"/>
      </w:pPr>
      <w:r>
        <w:t xml:space="preserve">Rival-ontology audit</w:t>
      </w:r>
    </w:p>
    <w:p>
      <w:pPr>
        <w:pStyle w:val="FirstParagraph"/>
      </w:pPr>
      <w:r>
        <w:rPr>
          <w:b/>
          <w:bCs/>
        </w:rPr>
        <w:t xml:space="preserve">Platonism:</w:t>
      </w:r>
      <w:r>
        <w:t xml:space="preserve"> </w:t>
      </w:r>
      <w:r>
        <w:t xml:space="preserve">an underived actual causal Form inside the domain violates G + CP; inert abstracta or q-reification remain open absent a closure principle.</w:t>
      </w:r>
      <w:r>
        <w:t xml:space="preserve"> </w:t>
      </w:r>
      <w:r>
        <w:rPr>
          <w:b/>
          <w:bCs/>
        </w:rPr>
        <w:t xml:space="preserve">Identity-pantheism:</w:t>
      </w:r>
      <w:r>
        <w:t xml:space="preserve"> </w:t>
      </w:r>
      <w:r>
        <w:t xml:space="preserve">source–effect identity violates CP + U for an actual effect; mode-based substance theories need a further account of inherence.</w:t>
      </w:r>
      <w:r>
        <w:t xml:space="preserve"> </w:t>
      </w:r>
      <w:r>
        <w:rPr>
          <w:b/>
          <w:bCs/>
        </w:rPr>
        <w:t xml:space="preserve">Constituent panentheism:</w:t>
      </w:r>
      <w:r>
        <w:t xml:space="preserve"> </w:t>
      </w:r>
      <w:r>
        <w:t xml:space="preserve">violates KH + FS + FC or KD + U; other meanings of panentheism need separate examination.</w:t>
      </w:r>
      <w:r>
        <w:t xml:space="preserve"> </w:t>
      </w:r>
      <w:r>
        <w:rPr>
          <w:b/>
          <w:bCs/>
        </w:rPr>
        <w:t xml:space="preserve">Occasionalism:</w:t>
      </w:r>
      <w:r>
        <w:t xml:space="preserve"> </w:t>
      </w:r>
      <w:r>
        <w:t xml:space="preserve">remains compatible until secondary powers are asserted.</w:t>
      </w:r>
      <w:r>
        <w:t xml:space="preserve"> </w:t>
      </w:r>
      <w:r>
        <w:rPr>
          <w:b/>
          <w:bCs/>
        </w:rPr>
        <w:t xml:space="preserve">Necessary emanation:</w:t>
      </w:r>
      <w:r>
        <w:t xml:space="preserve"> </w:t>
      </w:r>
      <w:r>
        <w:t xml:space="preserve">satisfies non-exhaustion while violating V.</w:t>
      </w:r>
      <w:r>
        <w:t xml:space="preserve"> </w:t>
      </w:r>
      <w:r>
        <w:rPr>
          <w:b/>
          <w:bCs/>
        </w:rPr>
        <w:t xml:space="preserve">Deism:</w:t>
      </w:r>
      <w:r>
        <w:t xml:space="preserve"> </w:t>
      </w:r>
      <w:r>
        <w:t xml:space="preserve">universal sustaining causality G excludes a causally detached effect, but needs a temporal interpretation to refute merely historical creation.</w:t>
      </w:r>
      <w:r>
        <w:t xml:space="preserve"> </w:t>
      </w:r>
      <w:r>
        <w:rPr>
          <w:b/>
          <w:bCs/>
        </w:rPr>
        <w:t xml:space="preserve">Absolute idealism:</w:t>
      </w:r>
      <w:r>
        <w:t xml:space="preserve"> </w:t>
      </w:r>
      <w:r>
        <w:t xml:space="preserve">is not refuted by vocabulary alone; identity versions fail, but “all effects mental” requires further discrimination.</w:t>
      </w:r>
      <w:r>
        <w:t xml:space="preserve"> </w:t>
      </w:r>
      <w:r>
        <w:rPr>
          <w:b/>
          <w:bCs/>
        </w:rPr>
        <w:t xml:space="preserve">Purely immanent causation:</w:t>
      </w:r>
      <w:r>
        <w:t xml:space="preserve"> </w:t>
      </w:r>
      <w:r>
        <w:t xml:space="preserve">can realize the generic causal grammar; the assumptions of an underived, unlimited source that is no creature’s constituent distinguish the proposed Christian interpretation.</w:t>
      </w:r>
    </w:p>
    <w:bookmarkEnd w:id="206"/>
    <w:bookmarkStart w:id="207" w:name="why-simple-asymmetry-was-removed"/>
    <w:p>
      <w:pPr>
        <w:pStyle w:val="Heading3"/>
      </w:pPr>
      <w:r>
        <w:t xml:space="preserve">Why simple asymmetry was removed</w:t>
      </w:r>
    </w:p>
    <w:p>
      <w:pPr>
        <w:pStyle w:val="FirstParagraph"/>
      </w:pPr>
      <w:r>
        <w:t xml:space="preserve">A generic axiom that all D is asymmetric would be stronger than necessary. For actual source-caused effects, CP and U already establish the needed asymmetry: x depends on g, and g cannot depend on x. The final basis therefore drops global asymmetry. It neither permits a vicious divine–creature explanatory cycle nor unnecessarily rules out every unrelated form of reciprocal creaturely dependence.</w:t>
      </w:r>
    </w:p>
    <w:bookmarkEnd w:id="207"/>
    <w:p>
      <w:pPr>
        <w:pStyle w:val="BodyText"/>
      </w:pPr>
      <w:r>
        <w:t xml:space="preserve">MODAL / THE FREEDOM TEST</w:t>
      </w:r>
    </w:p>
    <w:bookmarkStart w:id="208" w:name="room-for-freedom-is-not-freedom."/>
    <w:p>
      <w:pPr>
        <w:pStyle w:val="Heading2"/>
      </w:pPr>
      <w:r>
        <w:t xml:space="preserve">Room for freedom is not freedom.</w:t>
      </w:r>
    </w:p>
    <w:p>
      <w:pPr>
        <w:pStyle w:val="FirstParagraph"/>
      </w:pPr>
      <w:r>
        <w:t xml:space="preserve">Non-exhaustion defeats one possible necessity argument: no finite effect is an adequate measurement or completion of unlimited actuality. It does not defeat every argument for necessary production.</w:t>
      </w:r>
    </w:p>
    <w:bookmarkEnd w:id="208"/>
    <w:bookmarkStart w:id="209" w:name="a-countermodel"/>
    <w:p>
      <w:pPr>
        <w:pStyle w:val="Heading3"/>
      </w:pPr>
      <w:r>
        <w:t xml:space="preserve">A countermodel</w:t>
      </w:r>
    </w:p>
    <w:p>
      <w:pPr>
        <w:pStyle w:val="FirstParagraph"/>
      </w:pPr>
      <w:r>
        <w:t xml:space="preserve">Let an unlimited source necessarily produce one finite effect at every world. Its mode stays unlimited; the effect stays bounded; neither is part of the other. Every participation clause about measure can hold. Creation is still necessary.</w:t>
      </w:r>
    </w:p>
    <w:bookmarkEnd w:id="209"/>
    <w:bookmarkStart w:id="210" w:name="the-missing-premises"/>
    <w:p>
      <w:pPr>
        <w:pStyle w:val="Heading3"/>
      </w:pPr>
      <w:r>
        <w:t xml:space="preserve">The missing premises</w:t>
      </w:r>
    </w:p>
    <w:p>
      <w:pPr>
        <w:pStyle w:val="FirstParagraph"/>
      </w:pPr>
      <w:r>
        <w:rPr>
          <w:b/>
          <w:bCs/>
        </w:rPr>
        <w:t xml:space="preserve">V:</w:t>
      </w:r>
      <w:r>
        <w:t xml:space="preserve"> </w:t>
      </w:r>
      <w:r>
        <w:t xml:space="preserve">a genuine no-creation alternative with the same source fullness; weaker different-effect worlds may retain one necessary creature.</w:t>
      </w:r>
      <w:r>
        <w:t xml:space="preserve"> </w:t>
      </w:r>
      <w:r>
        <w:rPr>
          <w:b/>
          <w:bCs/>
        </w:rPr>
        <w:t xml:space="preserve">W:</w:t>
      </w:r>
      <w:r>
        <w:t xml:space="preserve"> </w:t>
      </w:r>
      <w:r>
        <w:t xml:space="preserve">intelligent self-determination without intrinsic, external, or unique-maximization necessity. An answer to the modal collapse problem must explain how the same intrinsic divine fullness permits God to will different creations.</w:t>
      </w:r>
    </w:p>
    <w:bookmarkEnd w:id="210"/>
    <w:p>
      <w:pPr>
        <w:pStyle w:val="SourceCode"/>
      </w:pPr>
      <w:r>
        <w:rPr>
          <w:rStyle w:val="VerbatimChar"/>
        </w:rPr>
        <w:t xml:space="preserve">FS + FC ⇏ V</w:t>
      </w:r>
      <w:r>
        <w:br/>
      </w:r>
      <w:r>
        <w:rPr>
          <w:rStyle w:val="VerbatimChar"/>
        </w:rPr>
        <w:t xml:space="preserve">V + X ⇏ W</w:t>
      </w:r>
      <w:r>
        <w:br/>
      </w:r>
      <w:r>
        <w:rPr>
          <w:rStyle w:val="VerbatimChar"/>
        </w:rPr>
        <w:t xml:space="preserve">V + X + W ⇒ intentional selection among live creation alternatives</w:t>
      </w:r>
      <w:r>
        <w:br/>
      </w:r>
      <w:r>
        <w:rPr>
          <w:rStyle w:val="VerbatimChar"/>
        </w:rPr>
        <w:t xml:space="preserve">No claim here resolves every version of the modal-collapse objection.</w:t>
      </w:r>
    </w:p>
    <w:p>
      <w:pPr>
        <w:pStyle w:val="FirstParagraph"/>
      </w:pPr>
      <w:r>
        <w:t xml:space="preserve">The non-exhaustion intuition supplies a</w:t>
      </w:r>
      <w:r>
        <w:t xml:space="preserve"> </w:t>
      </w:r>
      <w:r>
        <w:rPr>
          <w:i/>
          <w:iCs/>
        </w:rPr>
        <w:t xml:space="preserve">negative opening</w:t>
      </w:r>
      <w:r>
        <w:t xml:space="preserve">: finite adequacy does not necessitate the communication. Establishing contingency requires genuine possible alternatives; establishing freedom requires intentional agency. An explanatory account must additionally connect intelligence, goodness, and willing rather than rename unexplained alternatives “choice.”</w:t>
      </w:r>
    </w:p>
    <w:p>
      <w:pPr>
        <w:pStyle w:val="BodyText"/>
      </w:pPr>
      <w:r>
        <w:t xml:space="preserve">05 / THE GENEALOGY</w:t>
      </w:r>
    </w:p>
    <w:bookmarkStart w:id="211" w:name="a-tradition-of-overlapping-solutions."/>
    <w:p>
      <w:pPr>
        <w:pStyle w:val="Heading2"/>
      </w:pPr>
      <w:r>
        <w:t xml:space="preserve">A tradition of overlapping solutions.</w:t>
      </w:r>
    </w:p>
    <w:p>
      <w:pPr>
        <w:pStyle w:val="FirstParagraph"/>
      </w:pPr>
      <w:r>
        <w:t xml:space="preserve">These are material contributions, not a chronology of uniform doctrine. Exact evidence and interpretive limits sit in the linked research dossiers.</w:t>
      </w:r>
    </w:p>
    <w:bookmarkEnd w:id="211"/>
    <w:bookmarkStart w:id="222" w:name="Xf94b9aedb572dc4eec0d727ef4719235aa80cc1"/>
    <w:p>
      <w:pPr>
        <w:pStyle w:val="Heading3"/>
      </w:pPr>
      <w:r>
        <w:t xml:space="preserve">Explore the historical contributions and disagreements</w:t>
      </w:r>
    </w:p>
    <w:p>
      <w:pPr>
        <w:pStyle w:val="FirstParagraph"/>
      </w:pPr>
      <w:r>
        <w:t xml:space="preserve">PHILOSOPHICAL BACKGROUND</w:t>
      </w:r>
    </w:p>
    <w:bookmarkStart w:id="212" w:name="plato-aristotle"/>
    <w:p>
      <w:pPr>
        <w:pStyle w:val="Heading3"/>
      </w:pPr>
      <w:r>
        <w:t xml:space="preserve">Plato &amp; Aristotle</w:t>
      </w:r>
    </w:p>
    <w:p>
      <w:pPr>
        <w:pStyle w:val="FirstParagraph"/>
      </w:pPr>
      <w:r>
        <w:rPr>
          <w:b/>
          <w:bCs/>
        </w:rPr>
        <w:t xml:space="preserve">Contribution.</w:t>
      </w:r>
      <w:r>
        <w:t xml:space="preserve"> </w:t>
      </w:r>
      <w:r>
        <w:t xml:space="preserve">The whole/part problem makes “sharing” dangerous; exemplarity and different causal orders make it intelligible.</w:t>
      </w:r>
    </w:p>
    <w:p>
      <w:pPr>
        <w:pStyle w:val="BodyText"/>
      </w:pPr>
      <w:r>
        <w:t xml:space="preserve">Aristotelian causal priority does not itself deliver Christian ex nihilo or universal sustaining causality.</w:t>
      </w:r>
    </w:p>
    <w:p>
      <w:pPr>
        <w:pStyle w:val="BodyText"/>
      </w:pPr>
      <w:r>
        <w:t xml:space="preserve">Parmenides 130e–131e; Timaeus 28a–29b; Metaphysics Λ.7, 1072b</w:t>
      </w:r>
    </w:p>
    <w:p>
      <w:pPr>
        <w:pStyle w:val="BodyText"/>
      </w:pPr>
      <w:r>
        <w:t xml:space="preserve">PHILOSOPHICAL BACKGROUND</w:t>
      </w:r>
    </w:p>
    <w:bookmarkEnd w:id="212"/>
    <w:bookmarkStart w:id="213" w:name="plotinus-proclus"/>
    <w:p>
      <w:pPr>
        <w:pStyle w:val="Heading3"/>
      </w:pPr>
      <w:r>
        <w:t xml:space="preserve">Plotinus &amp; Proclus</w:t>
      </w:r>
    </w:p>
    <w:p>
      <w:pPr>
        <w:pStyle w:val="FirstParagraph"/>
      </w:pPr>
      <w:r>
        <w:rPr>
          <w:b/>
          <w:bCs/>
        </w:rPr>
        <w:t xml:space="preserve">Contribution.</w:t>
      </w:r>
      <w:r>
        <w:t xml:space="preserve"> </w:t>
      </w:r>
      <w:r>
        <w:t xml:space="preserve">One source, undivided presence, procession and return offer resources for nonpartition and causal excess.</w:t>
      </w:r>
    </w:p>
    <w:p>
      <w:pPr>
        <w:pStyle w:val="BodyText"/>
      </w:pPr>
      <w:r>
        <w:t xml:space="preserve">Necessary procession is a live rival to free creation. Similar vocabulary cannot erase this modal difference.</w:t>
      </w:r>
    </w:p>
    <w:p>
      <w:pPr>
        <w:pStyle w:val="BodyText"/>
      </w:pPr>
      <w:r>
        <w:t xml:space="preserve">Enneads V.2.1; VI.9.3; Elements of Theology props. 23, 26–30</w:t>
      </w:r>
    </w:p>
    <w:p>
      <w:pPr>
        <w:pStyle w:val="BodyText"/>
      </w:pPr>
      <w:r>
        <w:t xml:space="preserve">PATRISTIC RESOURCES</w:t>
      </w:r>
    </w:p>
    <w:bookmarkEnd w:id="213"/>
    <w:bookmarkStart w:id="214" w:name="gregory-of-nyssa-augustine"/>
    <w:p>
      <w:pPr>
        <w:pStyle w:val="Heading3"/>
      </w:pPr>
      <w:r>
        <w:t xml:space="preserve">Gregory of Nyssa &amp; Augustine</w:t>
      </w:r>
    </w:p>
    <w:p>
      <w:pPr>
        <w:pStyle w:val="FirstParagraph"/>
      </w:pPr>
      <w:r>
        <w:rPr>
          <w:b/>
          <w:bCs/>
        </w:rPr>
        <w:t xml:space="preserve">Contribution.</w:t>
      </w:r>
      <w:r>
        <w:t xml:space="preserve"> </w:t>
      </w:r>
      <w:r>
        <w:t xml:space="preserve">Nyssen inexhaustible participation and Augustine’s non-acquired wisdom distinguish received finite perfection from source actuality.</w:t>
      </w:r>
    </w:p>
    <w:p>
      <w:pPr>
        <w:pStyle w:val="BodyText"/>
      </w:pPr>
      <w:r>
        <w:t xml:space="preserve">Epektasis does not become a proof of divine infinity by being renamed “non-exhaustion.” Augustine’s divine ideas are not independent substances.</w:t>
      </w:r>
    </w:p>
    <w:p>
      <w:pPr>
        <w:pStyle w:val="BodyText"/>
      </w:pPr>
      <w:r>
        <w:t xml:space="preserve">Life of Moses II.230–239; City of God XI.10; De diversis quaestionibus 83, q.46</w:t>
      </w:r>
    </w:p>
    <w:p>
      <w:pPr>
        <w:pStyle w:val="BodyText"/>
      </w:pPr>
      <w:r>
        <w:t xml:space="preserve">CAUSAL PRECONTAINMENT / LOGOI</w:t>
      </w:r>
    </w:p>
    <w:bookmarkEnd w:id="214"/>
    <w:bookmarkStart w:id="215" w:name="dionysius-maximus"/>
    <w:p>
      <w:pPr>
        <w:pStyle w:val="Heading3"/>
      </w:pPr>
      <w:r>
        <w:t xml:space="preserve">Dionysius &amp; Maximus</w:t>
      </w:r>
    </w:p>
    <w:p>
      <w:pPr>
        <w:pStyle w:val="FirstParagraph"/>
      </w:pPr>
      <w:r>
        <w:rPr>
          <w:b/>
          <w:bCs/>
        </w:rPr>
        <w:t xml:space="preserve">Contribution.</w:t>
      </w:r>
      <w:r>
        <w:t xml:space="preserve"> </w:t>
      </w:r>
      <w:r>
        <w:t xml:space="preserve">Effects can truly exhibit causal likeness without reproducing the source’s mode. Logoi distinguish intelligible reasons from contingent realization.</w:t>
      </w:r>
    </w:p>
    <w:p>
      <w:pPr>
        <w:pStyle w:val="BodyText"/>
      </w:pPr>
      <w:r>
        <w:t xml:space="preserve">Dionysian procession is not automatically necessitarian. Maximus’s willing logoi are not a many-part divine interior.</w:t>
      </w:r>
    </w:p>
    <w:p>
      <w:pPr>
        <w:pStyle w:val="BodyText"/>
      </w:pPr>
      <w:r>
        <w:t xml:space="preserve">Divine Names II.5, V.8, IX.6; Ambiguum 7, PG 91, 1080A–1085B</w:t>
      </w:r>
    </w:p>
    <w:p>
      <w:pPr>
        <w:pStyle w:val="BodyText"/>
      </w:pPr>
      <w:r>
        <w:t xml:space="preserve">THEOPHANY / ENFOLDING</w:t>
      </w:r>
    </w:p>
    <w:bookmarkEnd w:id="215"/>
    <w:bookmarkStart w:id="216" w:name="eriugena-cusa"/>
    <w:p>
      <w:pPr>
        <w:pStyle w:val="Heading3"/>
      </w:pPr>
      <w:r>
        <w:t xml:space="preserve">Eriugena &amp; Cusa</w:t>
      </w:r>
    </w:p>
    <w:p>
      <w:pPr>
        <w:pStyle w:val="FirstParagraph"/>
      </w:pPr>
      <w:r>
        <w:rPr>
          <w:b/>
          <w:bCs/>
        </w:rPr>
        <w:t xml:space="preserve">Contribution.</w:t>
      </w:r>
      <w:r>
        <w:t xml:space="preserve"> </w:t>
      </w:r>
      <w:r>
        <w:t xml:space="preserve">Manifestation and enfolding explain why source transcendence need not be remoteness.</w:t>
      </w:r>
    </w:p>
    <w:p>
      <w:pPr>
        <w:pStyle w:val="BodyText"/>
      </w:pPr>
      <w:r>
        <w:t xml:space="preserve">Retrieve them only with causal asymmetry and nonconstitution guards. Interpretive pressures toward divine self-constitution must remain visible.</w:t>
      </w:r>
    </w:p>
    <w:p>
      <w:pPr>
        <w:pStyle w:val="BodyText"/>
      </w:pPr>
      <w:r>
        <w:t xml:space="preserve">Periphyseon I.446D, I.455B; De docta ignorantia I.2, II.3</w:t>
      </w:r>
    </w:p>
    <w:p>
      <w:pPr>
        <w:pStyle w:val="BodyText"/>
      </w:pPr>
      <w:r>
        <w:t xml:space="preserve">NONRECEPTIVE PERFECTION / EXEMPLARISM</w:t>
      </w:r>
    </w:p>
    <w:bookmarkEnd w:id="216"/>
    <w:bookmarkStart w:id="217" w:name="anselm-bonaventure"/>
    <w:p>
      <w:pPr>
        <w:pStyle w:val="Heading3"/>
      </w:pPr>
      <w:r>
        <w:t xml:space="preserve">Anselm &amp; Bonaventure</w:t>
      </w:r>
    </w:p>
    <w:p>
      <w:pPr>
        <w:pStyle w:val="FirstParagraph"/>
      </w:pPr>
      <w:r>
        <w:rPr>
          <w:b/>
          <w:bCs/>
        </w:rPr>
        <w:t xml:space="preserve">Contribution.</w:t>
      </w:r>
      <w:r>
        <w:t xml:space="preserve"> </w:t>
      </w:r>
      <w:r>
        <w:t xml:space="preserve">Composition depends on constituents; mutable likeness does not supply the exemplar’s actuality. Vestige, image, and similitude discriminate forms of expression.</w:t>
      </w:r>
    </w:p>
    <w:p>
      <w:pPr>
        <w:pStyle w:val="BodyText"/>
      </w:pPr>
      <w:r>
        <w:t xml:space="preserve">Bonaventure’s diffusion of goodness concerns necessary trinitarian fecundity in VI.2; it is not a proof of necessary creation.</w:t>
      </w:r>
    </w:p>
    <w:p>
      <w:pPr>
        <w:pStyle w:val="BodyText"/>
      </w:pPr>
      <w:r>
        <w:t xml:space="preserve">Monologion 17, 31, 34; Itinerarium II.11–13, III.1–3, VI.2</w:t>
      </w:r>
    </w:p>
    <w:p>
      <w:pPr>
        <w:pStyle w:val="BodyText"/>
      </w:pPr>
      <w:r>
        <w:t xml:space="preserve">INTELLIGIBILITY / CONTINGENT ACTUALIZATION</w:t>
      </w:r>
    </w:p>
    <w:bookmarkEnd w:id="217"/>
    <w:bookmarkStart w:id="218" w:name="henry-of-ghent-scotus"/>
    <w:p>
      <w:pPr>
        <w:pStyle w:val="Heading3"/>
      </w:pPr>
      <w:r>
        <w:t xml:space="preserve">Henry of Ghent &amp; Scotus</w:t>
      </w:r>
    </w:p>
    <w:p>
      <w:pPr>
        <w:pStyle w:val="FirstParagraph"/>
      </w:pPr>
      <w:r>
        <w:rPr>
          <w:b/>
          <w:bCs/>
        </w:rPr>
        <w:t xml:space="preserve">Contribution.</w:t>
      </w:r>
      <w:r>
        <w:t xml:space="preserve"> </w:t>
      </w:r>
      <w:r>
        <w:t xml:space="preserve">Possible intelligibility and actual production need not be one operation. Divine cognition and volition demand careful modal distinctions.</w:t>
      </w:r>
    </w:p>
    <w:p>
      <w:pPr>
        <w:pStyle w:val="BodyText"/>
      </w:pPr>
      <w:r>
        <w:t xml:space="preserve">Henry’s necessary possible-essence hierarchy and Scotus’s formal distinction are not interchangeable. Univocity of being is not a common natural genus.</w:t>
      </w:r>
    </w:p>
    <w:p>
      <w:pPr>
        <w:pStyle w:val="BodyText"/>
      </w:pPr>
      <w:r>
        <w:t xml:space="preserve">Henry: Summa art.21 q.4, art.24 q.3; Scotus: Ordinatio I d.2 p.1 qq.1–2, I d.35, I d.39</w:t>
      </w:r>
    </w:p>
    <w:p>
      <w:pPr>
        <w:pStyle w:val="BodyText"/>
      </w:pPr>
      <w:r>
        <w:t xml:space="preserve">CAUSALITY / RECEIVED ESSE / RELATIONS</w:t>
      </w:r>
    </w:p>
    <w:bookmarkEnd w:id="218"/>
    <w:bookmarkStart w:id="219" w:name="aquinas"/>
    <w:p>
      <w:pPr>
        <w:pStyle w:val="Heading3"/>
      </w:pPr>
      <w:r>
        <w:t xml:space="preserve">Aquinas</w:t>
      </w:r>
    </w:p>
    <w:p>
      <w:pPr>
        <w:pStyle w:val="FirstParagraph"/>
      </w:pPr>
      <w:r>
        <w:rPr>
          <w:b/>
          <w:bCs/>
        </w:rPr>
        <w:t xml:space="preserve">Contribution.</w:t>
      </w:r>
      <w:r>
        <w:t xml:space="preserve"> </w:t>
      </w:r>
      <w:r>
        <w:t xml:space="preserve">Necessary beings can still be caused; real creaturely powers can operate under universal divine causality; recipient mode does not migrate into the source.</w:t>
      </w:r>
    </w:p>
    <w:p>
      <w:pPr>
        <w:pStyle w:val="BodyText"/>
      </w:pPr>
      <w:r>
        <w:t xml:space="preserve">Participation in esse is a strong witness, not the compulsory vocabulary for the entire tradition. Mixed relations require his relational framework.</w:t>
      </w:r>
    </w:p>
    <w:p>
      <w:pPr>
        <w:pStyle w:val="BodyText"/>
      </w:pPr>
      <w:r>
        <w:t xml:space="preserve">ST I qq.3–4, 13, 15; q.44 a.1 ad2; q.45 a.3; q.105 a.5</w:t>
      </w:r>
    </w:p>
    <w:p>
      <w:pPr>
        <w:pStyle w:val="BodyText"/>
      </w:pPr>
      <w:r>
        <w:t xml:space="preserve">DISTINCTION / ANALOGY</w:t>
      </w:r>
    </w:p>
    <w:bookmarkEnd w:id="219"/>
    <w:bookmarkStart w:id="220" w:name="damascene-palamas-przywara"/>
    <w:p>
      <w:pPr>
        <w:pStyle w:val="Heading3"/>
      </w:pPr>
      <w:r>
        <w:t xml:space="preserve">Damascene, Palamas &amp; Przywara</w:t>
      </w:r>
    </w:p>
    <w:p>
      <w:pPr>
        <w:pStyle w:val="FirstParagraph"/>
      </w:pPr>
      <w:r>
        <w:rPr>
          <w:b/>
          <w:bCs/>
        </w:rPr>
        <w:t xml:space="preserve">Contribution.</w:t>
      </w:r>
      <w:r>
        <w:t xml:space="preserve"> </w:t>
      </w:r>
      <w:r>
        <w:t xml:space="preserve">Image kinds, real uncreated communication, and likeness within greater dissimilarity test whether the common grammar is broad enough.</w:t>
      </w:r>
    </w:p>
    <w:p>
      <w:pPr>
        <w:pStyle w:val="BodyText"/>
      </w:pPr>
      <w:r>
        <w:t xml:space="preserve">Noncomposition is not “no real distinction whatsoever.” Essence–energies and scholastic formalities cannot be erased by a blanket claim that every difference concerns only the effects.</w:t>
      </w:r>
    </w:p>
    <w:p>
      <w:pPr>
        <w:pStyle w:val="BodyText"/>
      </w:pPr>
      <w:r>
        <w:t xml:space="preserve">Damascene: On Holy Images III, image-types; Palamas: Triads III.2; Przywara: Analogia Entis</w:t>
      </w:r>
    </w:p>
    <w:p>
      <w:pPr>
        <w:pStyle w:val="BodyText"/>
      </w:pPr>
      <w:r>
        <w:t xml:space="preserve">DEVELOPMENT AS ANALOGICAL METHOD</w:t>
      </w:r>
    </w:p>
    <w:bookmarkEnd w:id="220"/>
    <w:bookmarkStart w:id="221" w:name="newman"/>
    <w:p>
      <w:pPr>
        <w:pStyle w:val="Heading3"/>
      </w:pPr>
      <w:r>
        <w:t xml:space="preserve">Newman</w:t>
      </w:r>
    </w:p>
    <w:p>
      <w:pPr>
        <w:pStyle w:val="FirstParagraph"/>
      </w:pPr>
      <w:r>
        <w:rPr>
          <w:b/>
          <w:bCs/>
        </w:rPr>
        <w:t xml:space="preserve">Contribution.</w:t>
      </w:r>
      <w:r>
        <w:t xml:space="preserve"> </w:t>
      </w:r>
      <w:r>
        <w:t xml:space="preserve">Preservation, continuity, assimilation, sequence, anticipation, conservation, and chronic vigour discipline constructive synthesis.</w:t>
      </w:r>
    </w:p>
    <w:p>
      <w:pPr>
        <w:pStyle w:val="BodyText"/>
      </w:pPr>
      <w:r>
        <w:t xml:space="preserve">A new system cannot demonstrate centuries of chronic vigour. Explanatory fruitfulness is a provisional adaptation, not Newman’s exact seventh note.</w:t>
      </w:r>
    </w:p>
    <w:p>
      <w:pPr>
        <w:pStyle w:val="BodyText"/>
      </w:pPr>
      <w:r>
        <w:t xml:space="preserve">Essay on Development, ch. V, opening §4 and §§I–VII</w:t>
      </w:r>
    </w:p>
    <w:bookmarkEnd w:id="221"/>
    <w:bookmarkEnd w:id="222"/>
    <w:p>
      <w:pPr>
        <w:pStyle w:val="BodyText"/>
      </w:pPr>
      <w:hyperlink r:id="rId223">
        <w:r>
          <w:rPr>
            <w:rStyle w:val="Hyperlink"/>
          </w:rPr>
          <w:t xml:space="preserve">Ancient &amp; patristic dossier →</w:t>
        </w:r>
      </w:hyperlink>
      <w:hyperlink r:id="rId224">
        <w:r>
          <w:rPr>
            <w:rStyle w:val="Hyperlink"/>
          </w:rPr>
          <w:t xml:space="preserve">Eastern / theophanic dossier →</w:t>
        </w:r>
      </w:hyperlink>
      <w:hyperlink r:id="rId225">
        <w:r>
          <w:rPr>
            <w:rStyle w:val="Hyperlink"/>
          </w:rPr>
          <w:t xml:space="preserve">Latin exemplarism dossier →</w:t>
        </w:r>
      </w:hyperlink>
      <w:hyperlink r:id="rId226">
        <w:r>
          <w:rPr>
            <w:rStyle w:val="Hyperlink"/>
          </w:rPr>
          <w:t xml:space="preserve">Aquinas, Scotus &amp; Newman dossier →</w:t>
        </w:r>
      </w:hyperlink>
    </w:p>
    <w:p>
      <w:pPr>
        <w:pStyle w:val="BodyText"/>
      </w:pPr>
      <w:r>
        <w:t xml:space="preserve">METHOD / DOCTRINE &amp; DEVELOPMENT</w:t>
      </w:r>
    </w:p>
    <w:bookmarkStart w:id="227" w:name="continuity-without-forced-agreement."/>
    <w:p>
      <w:pPr>
        <w:pStyle w:val="Heading2"/>
      </w:pPr>
      <w:r>
        <w:t xml:space="preserve">Continuity without forced agreement.</w:t>
      </w:r>
    </w:p>
    <w:p>
      <w:pPr>
        <w:pStyle w:val="FirstParagraph"/>
      </w:pPr>
      <w:r>
        <w:t xml:space="preserve">A metaphysical reconstruction can preserve Christian commitments without becoming a defined ecclesial doctrine. Newman supplies an analogical discipline, not retrospective authorization.</w:t>
      </w:r>
    </w:p>
    <w:bookmarkEnd w:id="227"/>
    <w:bookmarkStart w:id="228" w:name="the-broad-christian-constraints"/>
    <w:p>
      <w:pPr>
        <w:pStyle w:val="Heading3"/>
      </w:pPr>
      <w:r>
        <w:t xml:space="preserve">The broad Christian constraints</w:t>
      </w:r>
    </w:p>
    <w:p>
      <w:pPr>
        <w:pStyle w:val="FirstParagraph"/>
      </w:pPr>
      <w:r>
        <w:t xml:space="preserve">Creator–creature distinction; ex nihilo; divine non-dependence; real creaturely goodness; divine transcendence and causality; creation by intelligent willing; distinction without pantheistic identity. These constrain a Christian interpretation. The nine-clause calculus does not independently demonstrate them all.</w:t>
      </w:r>
    </w:p>
    <w:bookmarkEnd w:id="228"/>
    <w:bookmarkStart w:id="229" w:name="the-historically-variable-explanations"/>
    <w:p>
      <w:pPr>
        <w:pStyle w:val="Heading3"/>
      </w:pPr>
      <w:r>
        <w:t xml:space="preserve">The historically variable explanations</w:t>
      </w:r>
    </w:p>
    <w:p>
      <w:pPr>
        <w:pStyle w:val="FirstParagraph"/>
      </w:pPr>
      <w:r>
        <w:t xml:space="preserve">Essence–esse composition, logoi, rationes, formalities, essence–energies, models of analogy, and classifications of relations are explanatory architectures. They may genuinely conflict. The shared grammar must not assume away the disagreement.</w:t>
      </w:r>
    </w:p>
    <w:bookmarkEnd w:id="229"/>
    <w:bookmarkStart w:id="230" w:name="newman-style-assessment"/>
    <w:p>
      <w:pPr>
        <w:pStyle w:val="Heading3"/>
      </w:pPr>
      <w:r>
        <w:t xml:space="preserve">NEWMAN-STYLE ASSESSMENT</w:t>
      </w:r>
    </w:p>
    <w:p>
      <w:pPr>
        <w:pStyle w:val="FirstParagraph"/>
      </w:pPr>
      <w:r>
        <w:rPr>
          <w:b/>
          <w:bCs/>
        </w:rPr>
        <w:t xml:space="preserve">Preservation of type</w:t>
      </w:r>
      <w:r>
        <w:t xml:space="preserve">Preserves finite goodness caused by God and God’s independence; a provisional pass.</w:t>
      </w:r>
    </w:p>
    <w:p>
      <w:pPr>
        <w:pStyle w:val="BodyText"/>
      </w:pPr>
      <w:r>
        <w:rPr>
          <w:b/>
          <w:bCs/>
        </w:rPr>
        <w:t xml:space="preserve">Continuity of principles</w:t>
      </w:r>
      <w:r>
        <w:t xml:space="preserve">Conserves distinction, real causality, and nonpartition. Infinity and freedom remain explicit commitments.</w:t>
      </w:r>
    </w:p>
    <w:p>
      <w:pPr>
        <w:pStyle w:val="BodyText"/>
      </w:pPr>
      <w:r>
        <w:rPr>
          <w:b/>
          <w:bCs/>
        </w:rPr>
        <w:t xml:space="preserve">Assimilation</w:t>
      </w:r>
      <w:r>
        <w:t xml:space="preserve">Integrates exemplar, mode, grounding, and expression without equating formalities with energies.</w:t>
      </w:r>
    </w:p>
    <w:p>
      <w:pPr>
        <w:pStyle w:val="BodyText"/>
      </w:pPr>
      <w:r>
        <w:rPr>
          <w:b/>
          <w:bCs/>
        </w:rPr>
        <w:t xml:space="preserve">Logical sequence</w:t>
      </w:r>
      <w:r>
        <w:t xml:space="preserve">Makes bridges visible and drops redundant generic asymmetry. This is a constructive sequence, not a historical proof.</w:t>
      </w:r>
    </w:p>
    <w:p>
      <w:pPr>
        <w:pStyle w:val="BodyText"/>
      </w:pPr>
      <w:r>
        <w:rPr>
          <w:b/>
          <w:bCs/>
        </w:rPr>
        <w:t xml:space="preserve">Anticipation</w:t>
      </w:r>
      <w:r>
        <w:t xml:space="preserve">Antecedent texts anticipate several distinctions, not this exact formal vocabulary.</w:t>
      </w:r>
    </w:p>
    <w:p>
      <w:pPr>
        <w:pStyle w:val="BodyText"/>
      </w:pPr>
      <w:r>
        <w:rPr>
          <w:b/>
          <w:bCs/>
        </w:rPr>
        <w:t xml:space="preserve">Conservative action</w:t>
      </w:r>
      <w:r>
        <w:t xml:space="preserve">Clarifies inherited achievements without attributing the synthesis backward.</w:t>
      </w:r>
    </w:p>
    <w:p>
      <w:pPr>
        <w:pStyle w:val="BodyText"/>
      </w:pPr>
      <w:r>
        <w:rPr>
          <w:b/>
          <w:bCs/>
        </w:rPr>
        <w:t xml:space="preserve">Chronic vigour</w:t>
      </w:r>
      <w:r>
        <w:t xml:space="preserve">Not demonstrated for a new system. Rival-model stability and explanatory fruitfulness are only provisional substitutes.</w:t>
      </w:r>
    </w:p>
    <w:p>
      <w:pPr>
        <w:pStyle w:val="BodyText"/>
      </w:pPr>
      <w:r>
        <w:t xml:space="preserve">Verdict: a defensible</w:t>
      </w:r>
      <w:r>
        <w:t xml:space="preserve"> </w:t>
      </w:r>
      <w:r>
        <w:rPr>
          <w:b/>
          <w:bCs/>
        </w:rPr>
        <w:t xml:space="preserve">candidate development of an explanatory grammar</w:t>
      </w:r>
      <w:r>
        <w:t xml:space="preserve">, with explicit unresolved tensions. It is neither a demonstration that all historical models agree nor an ecclesial claim that this system is defined doctrine.</w:t>
      </w:r>
    </w:p>
    <w:bookmarkEnd w:id="230"/>
    <w:p>
      <w:pPr>
        <w:pStyle w:val="BodyText"/>
      </w:pPr>
      <w:r>
        <w:t xml:space="preserve">06 / WHERE EXPLANATION FINALLY STOPS</w:t>
      </w:r>
    </w:p>
    <w:bookmarkStart w:id="231" w:name="X79a9dd9e8f4e41111daf947d72a30244ca5dc40"/>
    <w:p>
      <w:pPr>
        <w:pStyle w:val="Heading2"/>
      </w:pPr>
      <w:r>
        <w:t xml:space="preserve">Conceptual recursion.</w:t>
      </w:r>
      <w:r>
        <w:br/>
      </w:r>
      <w:r>
        <w:t xml:space="preserve">Ontological asymmetry.</w:t>
      </w:r>
    </w:p>
    <w:p>
      <w:pPr>
        <w:pStyle w:val="FirstParagraph"/>
      </w:pPr>
      <w:r>
        <w:t xml:space="preserve">The proposed circle—actuality → reception → measure → participation → source → unreceived actuality—can organize inquiry. It cannot replace the argument that the source exists or the principles connecting these categories.</w:t>
      </w:r>
    </w:p>
    <w:bookmarkEnd w:id="231"/>
    <w:bookmarkStart w:id="232" w:name="four-different-circles"/>
    <w:p>
      <w:pPr>
        <w:pStyle w:val="Heading3"/>
      </w:pPr>
      <w:r>
        <w:t xml:space="preserve">Four different circles</w:t>
      </w:r>
    </w:p>
    <w:p>
      <w:pPr>
        <w:pStyle w:val="FirstParagraph"/>
      </w:pPr>
      <w:r>
        <w:rPr>
          <w:b/>
          <w:bCs/>
        </w:rPr>
        <w:t xml:space="preserve">Definitional:</w:t>
      </w:r>
      <w:r>
        <w:t xml:space="preserve"> </w:t>
      </w:r>
      <w:r>
        <w:t xml:space="preserve">A defined by P and P by A is vicious unless independently grounded. Here C, D, H, K and J are primitive; A is defined noncircularly by H.</w:t>
      </w:r>
      <w:r>
        <w:t xml:space="preserve"> </w:t>
      </w:r>
      <w:r>
        <w:rPr>
          <w:b/>
          <w:bCs/>
        </w:rPr>
        <w:t xml:space="preserve">Epistemic:</w:t>
      </w:r>
      <w:r>
        <w:t xml:space="preserve"> </w:t>
      </w:r>
      <w:r>
        <w:t xml:space="preserve">reasoning from effects to a source and back can be justified only if the premises have independent warrant.</w:t>
      </w:r>
    </w:p>
    <w:bookmarkEnd w:id="232"/>
    <w:bookmarkStart w:id="233" w:name="where-explanation-terminates"/>
    <w:p>
      <w:pPr>
        <w:pStyle w:val="Heading3"/>
      </w:pPr>
      <w:r>
        <w:t xml:space="preserve">Where explanation terminates</w:t>
      </w:r>
    </w:p>
    <w:p>
      <w:pPr>
        <w:pStyle w:val="FirstParagraph"/>
      </w:pPr>
      <w:r>
        <w:rPr>
          <w:b/>
          <w:bCs/>
        </w:rPr>
        <w:t xml:space="preserve">Explanatory:</w:t>
      </w:r>
      <w:r>
        <w:t xml:space="preserve"> </w:t>
      </w:r>
      <w:r>
        <w:t xml:space="preserve">mutual conceptual illumination is not a productive explanation.</w:t>
      </w:r>
      <w:r>
        <w:t xml:space="preserve"> </w:t>
      </w:r>
      <w:r>
        <w:rPr>
          <w:b/>
          <w:bCs/>
        </w:rPr>
        <w:t xml:space="preserve">Ontological:</w:t>
      </w:r>
      <w:r>
        <w:t xml:space="preserve"> </w:t>
      </w:r>
      <w:r>
        <w:t xml:space="preserve">CP + U forbid explaining divine actuality by the very effects whose actuality it grounds. Underivation terminates a dependence inquiry; it does not explain away actuality itself.</w:t>
      </w:r>
    </w:p>
    <w:bookmarkEnd w:id="233"/>
    <w:p>
      <w:pPr>
        <w:pStyle w:val="BodyText"/>
      </w:pPr>
      <w:r>
        <w:t xml:space="preserve">“Unreceived actuality” is not another stuff placed behind actuality. It names a negative dependence status of an actual source. Whether actuality is primitive, intelligible, and necessarily instantiated cannot be settled by that name.</w:t>
      </w:r>
    </w:p>
    <w:p>
      <w:pPr>
        <w:pStyle w:val="BodyText"/>
      </w:pPr>
      <w:r>
        <w:t xml:space="preserve">The best verdict is</w:t>
      </w:r>
      <w:r>
        <w:t xml:space="preserve"> </w:t>
      </w:r>
      <w:r>
        <w:rPr>
          <w:b/>
          <w:bCs/>
        </w:rPr>
        <w:t xml:space="preserve">a network of constrained primitives with an asymmetric explanatory endpoint</w:t>
      </w:r>
      <w:r>
        <w:t xml:space="preserve">. No benign circle is needed as a proof. Actuality remains primitive in H’s real realization, while A is convenient notation. Causation, quality, constituency, and modality cannot be explained merely by hiding them inside a sufficiently strong “dependence” predicate.</w:t>
      </w:r>
    </w:p>
    <w:bookmarkStart w:id="234" w:name="the-third-way"/>
    <w:p>
      <w:pPr>
        <w:pStyle w:val="Heading3"/>
      </w:pPr>
      <w:r>
        <w:t xml:space="preserve">THE THIRD WAY</w:t>
      </w:r>
    </w:p>
    <w:p>
      <w:pPr>
        <w:pStyle w:val="FirstParagraph"/>
      </w:pPr>
      <w:r>
        <w:t xml:space="preserve">Creator and creature are genuinely different. The core of participation is real dependent possession according to the recipient’s mode. With the additional causal, perfection, constitution, and source principles defended, that core supports likeness without common genus, presence without constituency, and communication without partition. Agency and finality then extend the account rather than being hidden in its definition. The distinctive result is an asymmetrical relation in which dependence and genuine creaturely reality belong together.</w:t>
      </w:r>
    </w:p>
    <w:p>
      <w:pPr>
        <w:pStyle w:val="BodyText"/>
      </w:pPr>
      <w:r>
        <w:t xml:space="preserve">A finite being can receive real actuality and express its source in its own mode, while the source remains undivided and uncompleted. The receiver’s measure measures the reception. It does not measure the source.</w:t>
      </w:r>
    </w:p>
    <w:bookmarkEnd w:id="234"/>
    <w:bookmarkStart w:id="237" w:name="the-smallest-honest-formal-statement"/>
    <w:p>
      <w:pPr>
        <w:pStyle w:val="Heading3"/>
      </w:pPr>
      <w:r>
        <w:t xml:space="preserve">THE SMALLEST HONEST FORMAL STATEMENT</w:t>
      </w:r>
    </w:p>
    <w:p>
      <w:pPr>
        <w:pStyle w:val="SourceCode"/>
      </w:pPr>
      <w:r>
        <w:rPr>
          <w:rStyle w:val="VerbatimChar"/>
        </w:rPr>
        <w:t xml:space="preserve">Signature: C, D, H, K, J; identity, worlds, q-indices, mode order.</w:t>
      </w:r>
      <w:r>
        <w:br/>
      </w:r>
      <w:r>
        <w:rPr>
          <w:rStyle w:val="VerbatimChar"/>
        </w:rPr>
        <w:t xml:space="preserve">A(x) := ∃m H(x,e,m); μₑ(x) := its mode.</w:t>
      </w:r>
      <w:r>
        <w:br/>
      </w:r>
      <w:r>
        <w:rPr>
          <w:rStyle w:val="VerbatimChar"/>
        </w:rPr>
        <w:t xml:space="preserve">Conditional base: G ∧ CP ∧ U ∧ Q ∧ KD ∧ KH ∧ FS ∧ FC ∧ X.</w:t>
      </w:r>
      <w:r>
        <w:br/>
      </w:r>
      <w:r>
        <w:rPr>
          <w:rStyle w:val="VerbatimChar"/>
        </w:rPr>
        <w:t xml:space="preserve">P(x,g,q) := C(g,x,q) ∧ D(x,g,q) ∧ ∃m H(x,q,m).</w:t>
      </w:r>
      <w:r>
        <w:br/>
      </w:r>
      <w:r>
        <w:rPr>
          <w:rStyle w:val="VerbatimChar"/>
        </w:rPr>
        <w:t xml:space="preserve">P(x,g,q) ⇒ L(x,g,q), by Q.</w:t>
      </w:r>
      <w:r>
        <w:br/>
      </w:r>
      <w:r>
        <w:rPr>
          <w:rStyle w:val="VerbatimChar"/>
        </w:rPr>
        <w:t xml:space="preserve">P(x,g,e) ⇒ x ≠ g, by CP + U.</w:t>
      </w:r>
      <w:r>
        <w:br/>
      </w:r>
      <w:r>
        <w:rPr>
          <w:rStyle w:val="VerbatimChar"/>
        </w:rPr>
        <w:t xml:space="preserve">A(x) ∧ x ≠ g ⇒ μₑ(x) &lt; μₑ(g), by FS + FC.</w:t>
      </w:r>
      <w:r>
        <w:br/>
      </w:r>
      <w:r>
        <w:rPr>
          <w:rStyle w:val="VerbatimChar"/>
        </w:rPr>
        <w:t xml:space="preserve">Strong no-genus: add N. Universal finite contingency: add V. Freedom: add W.</w:t>
      </w:r>
      <w:r>
        <w:br/>
      </w:r>
      <w:r>
        <w:rPr>
          <w:rStyle w:val="VerbatimChar"/>
        </w:rPr>
        <w:t xml:space="preserve">Actual secondary agency and ex nihilo require further defended premises.</w:t>
      </w:r>
    </w:p>
    <w:p>
      <w:pPr>
        <w:pStyle w:val="FirstParagraph"/>
      </w:pPr>
      <w:hyperlink r:id="rId235">
        <w:r>
          <w:rPr>
            <w:rStyle w:val="Hyperlink"/>
          </w:rPr>
          <w:t xml:space="preserve">Download the complete core report →</w:t>
        </w:r>
      </w:hyperlink>
      <w:hyperlink r:id="rId236">
        <w:r>
          <w:rPr>
            <w:rStyle w:val="Hyperlink"/>
          </w:rPr>
          <w:t xml:space="preserve">Formal reconstruction &amp; witnesses →</w:t>
        </w:r>
      </w:hyperlink>
    </w:p>
    <w:bookmarkEnd w:id="237"/>
    <w:p>
      <w:pPr>
        <w:pStyle w:val="BodyText"/>
      </w:pPr>
      <w:r>
        <w:t xml:space="preserve">Q&amp;A / DIRECT ANSWERS</w:t>
      </w:r>
    </w:p>
    <w:bookmarkStart w:id="238" w:name="questions-answers"/>
    <w:p>
      <w:pPr>
        <w:pStyle w:val="Heading2"/>
      </w:pPr>
      <w:r>
        <w:t xml:space="preserve">Questions &amp; answers</w:t>
      </w:r>
    </w:p>
    <w:p>
      <w:pPr>
        <w:pStyle w:val="FirstParagraph"/>
      </w:pPr>
      <w:r>
        <w:t xml:space="preserve">From God, like God, and genuinely other: direct answers to the participation questions.</w:t>
      </w:r>
    </w:p>
    <w:bookmarkEnd w:id="238"/>
    <w:bookmarkStart w:id="246" w:name="Xb24c90beec6ff5a1d6c742bde6aeb41090f93f4"/>
    <w:p>
      <w:pPr>
        <w:pStyle w:val="Heading3"/>
      </w:pPr>
      <w:r>
        <w:t xml:space="preserve">01</w:t>
      </w:r>
      <w:r>
        <w:t xml:space="preserve"> </w:t>
      </w:r>
      <w:r>
        <w:t xml:space="preserve">/</w:t>
      </w:r>
      <w:r>
        <w:t xml:space="preserve"> </w:t>
      </w:r>
      <w:r>
        <w:t xml:space="preserve">How can a creature be genuinely from God without being a piece of God?</w:t>
      </w:r>
      <w:r>
        <w:t xml:space="preserve">+</w:t>
      </w:r>
    </w:p>
    <w:p>
      <w:pPr>
        <w:pStyle w:val="FirstParagraph"/>
      </w:pPr>
      <w:r>
        <w:t xml:space="preserve">A creature possesses an actuality that God causes and sustains. That actuality is genuinely the creature's: the received life is its life, and a received capacity can be its capacity to exercise. Participation names this real, dependent possession. Dependence answers where the actuality comes from; possession answers whose actuality it is. Neither answer cancels the other. A source can therefore sustain another reality without turning it into a portion of its own substance.</w:t>
      </w:r>
    </w:p>
    <w:p>
      <w:pPr>
        <w:pStyle w:val="BodyText"/>
      </w:pPr>
      <w:r>
        <w:t xml:space="preserve">Nonpartition requires an argument in addition to that definition. If proper constituents make their whole depend upon them, absolute underivation excludes creatures as constituents of God. A separate capacity principle excludes unlimited divine actuality as a constituent of a bounded creature. On these premises, sustaining presence means present causality rather than spatial proximity. The creature's own exercise then requires another bridge: its received power must genuinely contribute to what occurs. Participation supplies the basis for secondary agency; it does not establish agency by naming it.</w:t>
      </w:r>
    </w:p>
    <w:bookmarkStart w:id="239" w:name="the-premises-behind-this-answer"/>
    <w:p>
      <w:pPr>
        <w:pStyle w:val="Heading3"/>
      </w:pPr>
      <w:r>
        <w:t xml:space="preserve">The premises behind this answer</w:t>
      </w:r>
    </w:p>
    <w:bookmarkEnd w:id="239"/>
    <w:bookmarkStart w:id="243" w:name="causation-and-constitution"/>
    <w:p>
      <w:pPr>
        <w:pStyle w:val="Heading3"/>
      </w:pPr>
      <w:r>
        <w:t xml:space="preserve">Causation and constitution</w:t>
      </w:r>
    </w:p>
    <w:p>
      <w:pPr>
        <w:pStyle w:val="FirstParagraph"/>
      </w:pPr>
      <w:r>
        <w:t xml:space="preserve">Uses the source assumptions and constitution bridges already stated in Part I.</w:t>
      </w:r>
    </w:p>
    <w:bookmarkStart w:id="240" w:name="adopt-these-premises"/>
    <w:p>
      <w:pPr>
        <w:pStyle w:val="Heading4"/>
      </w:pPr>
      <w:r>
        <w:t xml:space="preserve">Adopt these premises</w:t>
      </w:r>
    </w:p>
    <w:p>
      <w:pPr>
        <w:pStyle w:val="FirstParagraph"/>
      </w:pPr>
      <w:r>
        <w:rPr>
          <w:b/>
          <w:bCs/>
        </w:rPr>
        <w:t xml:space="preserve">1.</w:t>
      </w:r>
      <w:r>
        <w:t xml:space="preserve"> </w:t>
      </w:r>
      <w:r>
        <w:t xml:space="preserve">God presently sustains created actuality, depends on nothing for his actuality, and is unlimited in the respect in which creatures are bounded.</w:t>
      </w:r>
    </w:p>
    <w:p>
      <w:pPr>
        <w:pStyle w:val="BodyText"/>
      </w:pPr>
      <w:r>
        <w:rPr>
          <w:b/>
          <w:bCs/>
        </w:rPr>
        <w:t xml:space="preserve">2.</w:t>
      </w:r>
      <w:r>
        <w:t xml:space="preserve"> </w:t>
      </w:r>
      <w:r>
        <w:t xml:space="preserve">Sustaining causation grounds the effect's actuality in its cause; proper intrinsic constituents ground the actuality of the whole they constitute.</w:t>
      </w:r>
    </w:p>
    <w:p>
      <w:pPr>
        <w:pStyle w:val="BodyText"/>
      </w:pPr>
      <w:r>
        <w:rPr>
          <w:b/>
          <w:bCs/>
        </w:rPr>
        <w:t xml:space="preserve">3.</w:t>
      </w:r>
      <w:r>
        <w:t xml:space="preserve"> </w:t>
      </w:r>
      <w:r>
        <w:t xml:space="preserve">An intrinsic constituent cannot exceed its whole in the relevant capacity for actuality.</w:t>
      </w:r>
    </w:p>
    <w:bookmarkEnd w:id="240"/>
    <w:bookmarkStart w:id="241" w:name="why-adopt-them"/>
    <w:p>
      <w:pPr>
        <w:pStyle w:val="Heading4"/>
      </w:pPr>
      <w:r>
        <w:t xml:space="preserve">Why adopt them?</w:t>
      </w:r>
    </w:p>
    <w:p>
      <w:pPr>
        <w:pStyle w:val="FirstParagraph"/>
      </w:pPr>
      <w:r>
        <w:t xml:space="preserve">Producing or sustaining something explains its actuality without making the producer its material. Constitution has a different explanatory direction: the whole possesses its actuality through its constituents. Confusing these directions would turn every cause into a component. The third premise adds a substantive constraint on what a bounded whole can intrinsically contain; it is not a consequence of mere part-whole vocabulary.</w:t>
      </w:r>
    </w:p>
    <w:bookmarkEnd w:id="241"/>
    <w:bookmarkStart w:id="242" w:name="what-follows-if-they-hold"/>
    <w:p>
      <w:pPr>
        <w:pStyle w:val="Heading4"/>
      </w:pPr>
      <w:r>
        <w:t xml:space="preserve">What follows if they hold?</w:t>
      </w:r>
    </w:p>
    <w:p>
      <w:pPr>
        <w:pStyle w:val="FirstParagraph"/>
      </w:pPr>
      <w:r>
        <w:t xml:space="preserve">Created actuality can be continuously from God while remaining distinct. Constitutive dependence excludes a creature as a part of the underived God; the capacity constraint excludes unlimited God as a constituent of a bounded creature.</w:t>
      </w:r>
    </w:p>
    <w:p>
      <w:pPr>
        <w:pStyle w:val="BodyText"/>
      </w:pPr>
      <w:r>
        <w:rPr>
          <w:b/>
          <w:bCs/>
        </w:rPr>
        <w:t xml:space="preserve">What remains to defend.</w:t>
      </w:r>
      <w:r>
        <w:t xml:space="preserve"> </w:t>
      </w:r>
      <w:r>
        <w:t xml:space="preserve">These are conditional consequences of the source profile and two constitution principles, not a demonstration that every cause communicates without division.</w:t>
      </w:r>
    </w:p>
    <w:bookmarkEnd w:id="242"/>
    <w:bookmarkEnd w:id="243"/>
    <w:p>
      <w:pPr>
        <w:pStyle w:val="BodyText"/>
      </w:pPr>
      <w:hyperlink r:id="rId101">
        <w:r>
          <w:rPr>
            <w:rStyle w:val="Hyperlink"/>
          </w:rPr>
          <w:t xml:space="preserve">Participation as real possession</w:t>
        </w:r>
      </w:hyperlink>
      <w:r>
        <w:t xml:space="preserve"> </w:t>
      </w:r>
      <w:r>
        <w:t xml:space="preserve">|</w:t>
      </w:r>
      <w:r>
        <w:t xml:space="preserve"> </w:t>
      </w:r>
      <w:hyperlink r:id="rId244">
        <w:r>
          <w:rPr>
            <w:rStyle w:val="Hyperlink"/>
          </w:rPr>
          <w:t xml:space="preserve">The basis and constitution bridges</w:t>
        </w:r>
      </w:hyperlink>
      <w:r>
        <w:t xml:space="preserve"> </w:t>
      </w:r>
      <w:r>
        <w:t xml:space="preserve">|</w:t>
      </w:r>
      <w:r>
        <w:t xml:space="preserve"> </w:t>
      </w:r>
      <w:hyperlink r:id="rId245">
        <w:r>
          <w:rPr>
            <w:rStyle w:val="Hyperlink"/>
          </w:rPr>
          <w:t xml:space="preserve">Participation without partition</w:t>
        </w:r>
      </w:hyperlink>
    </w:p>
    <w:bookmarkEnd w:id="246"/>
    <w:bookmarkStart w:id="253" w:name="Xcac339b6af8fb0bb0bf0596155e07b3f03cfecf"/>
    <w:p>
      <w:pPr>
        <w:pStyle w:val="Heading3"/>
      </w:pPr>
      <w:r>
        <w:t xml:space="preserve">02</w:t>
      </w:r>
      <w:r>
        <w:t xml:space="preserve"> </w:t>
      </w:r>
      <w:r>
        <w:t xml:space="preserve">/</w:t>
      </w:r>
      <w:r>
        <w:t xml:space="preserve"> </w:t>
      </w:r>
      <w:r>
        <w:t xml:space="preserve">If creatures are from God, in what sense can they genuinely be like God?</w:t>
      </w:r>
      <w:r>
        <w:t xml:space="preserve">+</w:t>
      </w:r>
    </w:p>
    <w:p>
      <w:pPr>
        <w:pStyle w:val="FirstParagraph"/>
      </w:pPr>
      <w:r>
        <w:t xml:space="preserve">They can possess a real perfection whose positive content corresponds to perfection in their source, although its mode of possession differs. But being caused does not, by itself, establish that correspondence. Causation explains where a perfection comes from; likeness requires an additional principle of causal adequacy. The proposal applies that principle to the ultimate source, rather than requiring every instrument to possess the qualities of its effects.</w:t>
      </w:r>
    </w:p>
    <w:p>
      <w:pPr>
        <w:pStyle w:val="BodyText"/>
      </w:pPr>
      <w:r>
        <w:t xml:space="preserve">The positive content must be identified independently of effecthood. Exemplarism supplies one account of the bridge: an effect's intelligible formation corresponds to the source's understanding, so the likeness is grounded in what the effect is. The complete finite form need not be copied into God. A melody requires succession; its divine ground need not be a succession of divine notes. This reconstruction makes detached Forms unnecessary to the explanation without proving every alternative ontology false. Objective expression can obtain before an observer recognizes it; recognition and warranted knowledge remain further achievements.</w:t>
      </w:r>
    </w:p>
    <w:bookmarkStart w:id="247" w:name="the-premises-behind-this-answer-1"/>
    <w:p>
      <w:pPr>
        <w:pStyle w:val="Heading3"/>
      </w:pPr>
      <w:r>
        <w:t xml:space="preserve">The premises behind this answer</w:t>
      </w:r>
    </w:p>
    <w:bookmarkEnd w:id="247"/>
    <w:bookmarkStart w:id="251" w:name="X3a87fcd378d27b7e7338ce8f5dd61b1f88b7faa"/>
    <w:p>
      <w:pPr>
        <w:pStyle w:val="Heading3"/>
      </w:pPr>
      <w:r>
        <w:t xml:space="preserve">Corresponding perfection in an ultimate cause</w:t>
      </w:r>
    </w:p>
    <w:p>
      <w:pPr>
        <w:pStyle w:val="FirstParagraph"/>
      </w:pPr>
      <w:r>
        <w:t xml:space="preserve">Adds causal adequacy to causation and dependence; the source interpretation of each positive perfection must also be defended.</w:t>
      </w:r>
    </w:p>
    <w:bookmarkStart w:id="248" w:name="adopt-these-premises-1"/>
    <w:p>
      <w:pPr>
        <w:pStyle w:val="Heading4"/>
      </w:pPr>
      <w:r>
        <w:t xml:space="preserve">Adopt these premises</w:t>
      </w:r>
    </w:p>
    <w:p>
      <w:pPr>
        <w:pStyle w:val="FirstParagraph"/>
      </w:pPr>
      <w:r>
        <w:rPr>
          <w:b/>
          <w:bCs/>
        </w:rPr>
        <w:t xml:space="preserve">1.</w:t>
      </w:r>
      <w:r>
        <w:t xml:space="preserve"> </w:t>
      </w:r>
      <w:r>
        <w:t xml:space="preserve">Identify the positive content independently of its being caused, and distinguish it from a complete finite-kind description: achieved understanding, for example, differs from the receptive history of learning.</w:t>
      </w:r>
    </w:p>
    <w:p>
      <w:pPr>
        <w:pStyle w:val="BodyText"/>
      </w:pPr>
      <w:r>
        <w:rPr>
          <w:b/>
          <w:bCs/>
        </w:rPr>
        <w:t xml:space="preserve">2.</w:t>
      </w:r>
      <w:r>
        <w:t xml:space="preserve"> </w:t>
      </w:r>
      <w:r>
        <w:t xml:space="preserve">Where the ultimate source fully grounds that positive actuality, the source possesses corresponding perfection actually, under a source-appropriate mode, rather than merely having the ability to produce it.</w:t>
      </w:r>
    </w:p>
    <w:bookmarkEnd w:id="248"/>
    <w:bookmarkStart w:id="249" w:name="why-adopt-them-1"/>
    <w:p>
      <w:pPr>
        <w:pStyle w:val="Heading4"/>
      </w:pPr>
      <w:r>
        <w:t xml:space="preserve">Why adopt them?</w:t>
      </w:r>
    </w:p>
    <w:p>
      <w:pPr>
        <w:pStyle w:val="FirstParagraph"/>
      </w:pPr>
      <w:r>
        <w:t xml:space="preserve">The proposal asks the ultimate explanation to account for what is positively realized, not only the fact that an event occurs. An instrument can transmit a perfection it does not possess in the relevant mode because other actualities explain its operation. An ultimate source cannot defer the whole explanatory burden indefinitely to such instruments. Correspondence permits difference of mode: causing understanding does not require a biological brain or discursive learning in God.</w:t>
      </w:r>
    </w:p>
    <w:p>
      <w:pPr>
        <w:pStyle w:val="BodyText"/>
      </w:pPr>
      <w:r>
        <w:t xml:space="preserve">Source-related intelligible formation provides a positive account of the correspondence. On an exemplar account, the source understands the form it gives actuality to; the creature realizes that intelligible form under its own conditions. A causal relation alone does not supply this additional explanatory relation.</w:t>
      </w:r>
    </w:p>
    <w:bookmarkEnd w:id="249"/>
    <w:bookmarkStart w:id="250" w:name="what-follows-if-they-hold-1"/>
    <w:p>
      <w:pPr>
        <w:pStyle w:val="Heading4"/>
      </w:pPr>
      <w:r>
        <w:t xml:space="preserve">What follows if they hold?</w:t>
      </w:r>
    </w:p>
    <w:p>
      <w:pPr>
        <w:pStyle w:val="FirstParagraph"/>
      </w:pPr>
      <w:r>
        <w:t xml:space="preserve">A creature can bear an actual, received likeness. Its perfection has an intelligible source without requiring a detached Form between source and creature.</w:t>
      </w:r>
    </w:p>
    <w:p>
      <w:pPr>
        <w:pStyle w:val="BodyText"/>
      </w:pPr>
      <w:r>
        <w:rPr>
          <w:b/>
          <w:bCs/>
        </w:rPr>
        <w:t xml:space="preserve">What remains to defend.</w:t>
      </w:r>
      <w:r>
        <w:t xml:space="preserve"> </w:t>
      </w:r>
      <w:r>
        <w:t xml:space="preserve">This is a substantive causal-adequacy commitment, not a theorem of causation alone. Each positive content and its source interpretation still needs defense.</w:t>
      </w:r>
    </w:p>
    <w:bookmarkEnd w:id="250"/>
    <w:bookmarkEnd w:id="251"/>
    <w:p>
      <w:pPr>
        <w:pStyle w:val="BodyText"/>
      </w:pPr>
      <w:hyperlink r:id="rId244">
        <w:r>
          <w:rPr>
            <w:rStyle w:val="Hyperlink"/>
          </w:rPr>
          <w:t xml:space="preserve">Causal adequacy and realized perfection</w:t>
        </w:r>
      </w:hyperlink>
      <w:r>
        <w:t xml:space="preserve"> </w:t>
      </w:r>
      <w:r>
        <w:t xml:space="preserve">|</w:t>
      </w:r>
      <w:r>
        <w:t xml:space="preserve"> </w:t>
      </w:r>
      <w:hyperlink r:id="rId252">
        <w:r>
          <w:rPr>
            <w:rStyle w:val="Hyperlink"/>
          </w:rPr>
          <w:t xml:space="preserve">Historical resources for likeness</w:t>
        </w:r>
      </w:hyperlink>
    </w:p>
    <w:bookmarkEnd w:id="253"/>
    <w:bookmarkStart w:id="260" w:name="Xffcc54e0be6999e4f1e0c8f04b4fcf389d826b8"/>
    <w:p>
      <w:pPr>
        <w:pStyle w:val="Heading3"/>
      </w:pPr>
      <w:r>
        <w:t xml:space="preserve">03</w:t>
      </w:r>
      <w:r>
        <w:t xml:space="preserve"> </w:t>
      </w:r>
      <w:r>
        <w:t xml:space="preserve">/</w:t>
      </w:r>
      <w:r>
        <w:t xml:space="preserve"> </w:t>
      </w:r>
      <w:r>
        <w:t xml:space="preserve">How can a creature genuinely resemble God without sharing God's mode of being or a common genus?</w:t>
      </w:r>
      <w:r>
        <w:t xml:space="preserve">+</w:t>
      </w:r>
    </w:p>
    <w:p>
      <w:pPr>
        <w:pStyle w:val="FirstParagraph"/>
      </w:pPr>
      <w:r>
        <w:t xml:space="preserve">A perfection can correspond without being possessed in the same way. A creature receives actuality according to its capacity; the adopted divine source receives none of the actuality by which it exists. The finite measure characterizes reception, rather than becoming a limit on the source. Likewise, a finite judgment can be completely true in its stated respect without comprehending God: knowing that God exists does not mean possessing everything God is. Non-exhaustion is compatible with truthful access.</w:t>
      </w:r>
    </w:p>
    <w:p>
      <w:pPr>
        <w:pStyle w:val="BodyText"/>
      </w:pPr>
      <w:r>
        <w:t xml:space="preserve">Still, different modes alone do not prove that no common genus exists. The stricter conclusion needs a further account: membership in a natural genus would introduce distinct intrinsic constituting principles, and an absolutely underived source cannot depend on such principles. That account of genus requires independent defense. It concerns natural classification, rather than every shared predicate or intelligible concept. Scotus's univocal concept of being cannot simply be dismissed as a common natural genus.</w:t>
      </w:r>
    </w:p>
    <w:bookmarkStart w:id="254" w:name="the-premises-behind-this-answer-2"/>
    <w:p>
      <w:pPr>
        <w:pStyle w:val="Heading3"/>
      </w:pPr>
      <w:r>
        <w:t xml:space="preserve">The premises behind this answer</w:t>
      </w:r>
    </w:p>
    <w:bookmarkEnd w:id="254"/>
    <w:bookmarkStart w:id="258" w:name="natural-genus-and-intrinsic-constitution"/>
    <w:p>
      <w:pPr>
        <w:pStyle w:val="Heading3"/>
      </w:pPr>
      <w:r>
        <w:t xml:space="preserve">Natural genus and intrinsic constitution</w:t>
      </w:r>
    </w:p>
    <w:p>
      <w:pPr>
        <w:pStyle w:val="FirstParagraph"/>
      </w:pPr>
      <w:r>
        <w:t xml:space="preserve">Adds the natural-genus principle N to the inherited underivation and constitution arguments.</w:t>
      </w:r>
    </w:p>
    <w:bookmarkStart w:id="255" w:name="adopt-these-premises-2"/>
    <w:p>
      <w:pPr>
        <w:pStyle w:val="Heading4"/>
      </w:pPr>
      <w:r>
        <w:t xml:space="preserve">Adopt these premises</w:t>
      </w:r>
    </w:p>
    <w:p>
      <w:pPr>
        <w:pStyle w:val="FirstParagraph"/>
      </w:pPr>
      <w:r>
        <w:rPr>
          <w:b/>
          <w:bCs/>
        </w:rPr>
        <w:t xml:space="preserve">1.</w:t>
      </w:r>
      <w:r>
        <w:t xml:space="preserve"> </w:t>
      </w:r>
      <w:r>
        <w:t xml:space="preserve">Corresponding perfection can be received and bounded in the creature while unreceived and unlimited in God.</w:t>
      </w:r>
    </w:p>
    <w:p>
      <w:pPr>
        <w:pStyle w:val="BodyText"/>
      </w:pPr>
      <w:r>
        <w:rPr>
          <w:b/>
          <w:bCs/>
        </w:rPr>
        <w:t xml:space="preserve">2.</w:t>
      </w:r>
      <w:r>
        <w:t xml:space="preserve"> </w:t>
      </w:r>
      <w:r>
        <w:t xml:space="preserve">If natural genus-membership consists in an intrinsic common kind completed by a distinct intrinsic specific principle, both principles contribute to the member's constitution.</w:t>
      </w:r>
    </w:p>
    <w:p>
      <w:pPr>
        <w:pStyle w:val="BodyText"/>
      </w:pPr>
      <w:r>
        <w:rPr>
          <w:b/>
          <w:bCs/>
        </w:rPr>
        <w:t xml:space="preserve">3.</w:t>
      </w:r>
      <w:r>
        <w:t xml:space="preserve"> </w:t>
      </w:r>
      <w:r>
        <w:t xml:space="preserve">Proper intrinsic constituting principles ground a whole's actuality; God is absolutely underived.</w:t>
      </w:r>
    </w:p>
    <w:bookmarkEnd w:id="255"/>
    <w:bookmarkStart w:id="256" w:name="why-adopt-them-2"/>
    <w:p>
      <w:pPr>
        <w:pStyle w:val="Heading4"/>
      </w:pPr>
      <w:r>
        <w:t xml:space="preserve">Why adopt them?</w:t>
      </w:r>
    </w:p>
    <w:p>
      <w:pPr>
        <w:pStyle w:val="FirstParagraph"/>
      </w:pPr>
      <w:r>
        <w:t xml:space="preserve">A natural genus, on this account, identifies what a thing intrinsically is; its specific determination explains why it is this kind of member. Those contributions are stronger than two descriptions or a shared logical predicate. Treating them as real constituting principles therefore subjects them to the dependence argument. Mere likeness instead compares positive content without supplying a constituent through which God becomes actual.</w:t>
      </w:r>
    </w:p>
    <w:bookmarkEnd w:id="256"/>
    <w:bookmarkStart w:id="257" w:name="what-follows-if-they-hold-2"/>
    <w:p>
      <w:pPr>
        <w:pStyle w:val="Heading4"/>
      </w:pPr>
      <w:r>
        <w:t xml:space="preserve">What follows if they hold?</w:t>
      </w:r>
    </w:p>
    <w:p>
      <w:pPr>
        <w:pStyle w:val="FirstParagraph"/>
      </w:pPr>
      <w:r>
        <w:t xml:space="preserve">Likeness remains possible, while God cannot belong to a natural genus constituted in this way. The creature's finite reception measures its own mode rather than setting God's measure.</w:t>
      </w:r>
    </w:p>
    <w:p>
      <w:pPr>
        <w:pStyle w:val="BodyText"/>
      </w:pPr>
      <w:r>
        <w:rPr>
          <w:b/>
          <w:bCs/>
        </w:rPr>
        <w:t xml:space="preserve">What remains to defend.</w:t>
      </w:r>
      <w:r>
        <w:t xml:space="preserve"> </w:t>
      </w:r>
      <w:r>
        <w:t xml:space="preserve">The genus analysis is an additional Aristotelian-style commitment. It neither excludes every shared concept nor refutes Scotus's univocal concept of being.</w:t>
      </w:r>
    </w:p>
    <w:bookmarkEnd w:id="257"/>
    <w:bookmarkEnd w:id="258"/>
    <w:p>
      <w:pPr>
        <w:pStyle w:val="BodyText"/>
      </w:pPr>
      <w:hyperlink r:id="rId245">
        <w:r>
          <w:rPr>
            <w:rStyle w:val="Hyperlink"/>
          </w:rPr>
          <w:t xml:space="preserve">The additional genus principle</w:t>
        </w:r>
      </w:hyperlink>
      <w:r>
        <w:t xml:space="preserve"> </w:t>
      </w:r>
      <w:r>
        <w:t xml:space="preserve">|</w:t>
      </w:r>
      <w:r>
        <w:t xml:space="preserve"> </w:t>
      </w:r>
      <w:hyperlink r:id="rId259">
        <w:r>
          <w:rPr>
            <w:rStyle w:val="Hyperlink"/>
          </w:rPr>
          <w:t xml:space="preserve">Test the premises</w:t>
        </w:r>
      </w:hyperlink>
    </w:p>
    <w:bookmarkEnd w:id="260"/>
    <w:p>
      <w:pPr>
        <w:pStyle w:val="BodyText"/>
      </w:pPr>
      <w:r>
        <w:t xml:space="preserve">For each answer, the expandable explanation states its premises, reasons to adopt them, positive consequences, and remaining commitments. Follow the links for the derivations, rival accounts, and source qualifications.</w:t>
      </w:r>
    </w:p>
    <w:p>
      <w:pPr>
        <w:pStyle w:val="BodyText"/>
      </w:pPr>
      <w:r>
        <w:t xml:space="preserve">SOURCE LEDGER</w:t>
      </w:r>
    </w:p>
    <w:bookmarkStart w:id="261" w:name="evidence-has-a-status."/>
    <w:p>
      <w:pPr>
        <w:pStyle w:val="Heading2"/>
      </w:pPr>
      <w:r>
        <w:t xml:space="preserve">Evidence has a status.</w:t>
      </w:r>
    </w:p>
    <w:p>
      <w:pPr>
        <w:pStyle w:val="FirstParagraph"/>
      </w:pPr>
      <w:r>
        <w:t xml:space="preserve">Primary passages, archived secondary material, and unconsulted scholarly leads are distinct. During the initial research pass, source-domain access was restricted; permitted mirrors enabled the consultation recorded here.</w:t>
      </w:r>
    </w:p>
    <w:bookmarkEnd w:id="261"/>
    <w:p>
      <w:pPr>
        <w:pStyle w:val="BodyText"/>
      </w:pPr>
      <w:r>
        <w:t xml:space="preserve">Consulted primary</w:t>
      </w:r>
    </w:p>
    <w:bookmarkStart w:id="263" w:name="aristotle-metaphysics"/>
    <w:p>
      <w:pPr>
        <w:pStyle w:val="Heading3"/>
      </w:pPr>
      <w:r>
        <w:t xml:space="preserve">Aristotle, Metaphysics</w:t>
      </w:r>
    </w:p>
    <w:p>
      <w:pPr>
        <w:pStyle w:val="FirstParagraph"/>
      </w:pPr>
      <w:r>
        <w:t xml:space="preserve">Hugh Tredennick, Perseus digital XML; selected passages consulted with Bekker milestones.</w:t>
      </w:r>
    </w:p>
    <w:p>
      <w:pPr>
        <w:pStyle w:val="BodyText"/>
      </w:pPr>
      <w:r>
        <w:t xml:space="preserve">Causal orders, being not a genus, and actuality-priority supply background; none independently yields Christian creation.</w:t>
      </w:r>
    </w:p>
    <w:p>
      <w:pPr>
        <w:pStyle w:val="BodyText"/>
      </w:pPr>
      <w:hyperlink r:id="rId262">
        <w:r>
          <w:rPr>
            <w:rStyle w:val="Hyperlink"/>
          </w:rPr>
          <w:t xml:space="preserve">Inspect source / mirror →</w:t>
        </w:r>
      </w:hyperlink>
    </w:p>
    <w:p>
      <w:pPr>
        <w:pStyle w:val="BodyText"/>
      </w:pPr>
      <w:r>
        <w:t xml:space="preserve">Consulted primary</w:t>
      </w:r>
    </w:p>
    <w:bookmarkEnd w:id="263"/>
    <w:bookmarkStart w:id="265" w:name="plotinus-enneads"/>
    <w:p>
      <w:pPr>
        <w:pStyle w:val="Heading3"/>
      </w:pPr>
      <w:r>
        <w:t xml:space="preserve">Plotinus, Enneads</w:t>
      </w:r>
    </w:p>
    <w:p>
      <w:pPr>
        <w:pStyle w:val="FirstParagraph"/>
      </w:pPr>
      <w:r>
        <w:t xml:space="preserve">Kenneth Sylvan Guthrie, older translation, GITenberg volume I; selected treatises consulted.</w:t>
      </w:r>
    </w:p>
    <w:p>
      <w:pPr>
        <w:pStyle w:val="BodyText"/>
      </w:pPr>
      <w:r>
        <w:t xml:space="preserve">V.2.1 and VI.9 clarify nonpartition; V.1.6 supplies modal pressure. Armstrong’s critical edition remains a follow-up.</w:t>
      </w:r>
    </w:p>
    <w:p>
      <w:pPr>
        <w:pStyle w:val="BodyText"/>
      </w:pPr>
      <w:hyperlink r:id="rId264">
        <w:r>
          <w:rPr>
            <w:rStyle w:val="Hyperlink"/>
          </w:rPr>
          <w:t xml:space="preserve">Inspect source / mirror →</w:t>
        </w:r>
      </w:hyperlink>
    </w:p>
    <w:p>
      <w:pPr>
        <w:pStyle w:val="BodyText"/>
      </w:pPr>
      <w:r>
        <w:t xml:space="preserve">Consulted primary</w:t>
      </w:r>
    </w:p>
    <w:bookmarkEnd w:id="265"/>
    <w:bookmarkStart w:id="267" w:name="X1e52415aa049b5dda0a9f0b8c39f532ec952f5a"/>
    <w:p>
      <w:pPr>
        <w:pStyle w:val="Heading3"/>
      </w:pPr>
      <w:r>
        <w:t xml:space="preserve">Gregory of Nyssa, On the Making of Man XVI</w:t>
      </w:r>
    </w:p>
    <w:p>
      <w:pPr>
        <w:pStyle w:val="FirstParagraph"/>
      </w:pPr>
      <w:r>
        <w:t xml:space="preserve">Moore / Wilson translation, Standard Ebooks transcription; edition provenance checked.</w:t>
      </w:r>
    </w:p>
    <w:p>
      <w:pPr>
        <w:pStyle w:val="BodyText"/>
      </w:pPr>
      <w:r>
        <w:t xml:space="preserve">Likeness in attributes, created–uncreated difference, and creaturely measure are directly verified. Life of Moses remains a separate unconsulted lead.</w:t>
      </w:r>
    </w:p>
    <w:p>
      <w:pPr>
        <w:pStyle w:val="BodyText"/>
      </w:pPr>
      <w:hyperlink r:id="rId266">
        <w:r>
          <w:rPr>
            <w:rStyle w:val="Hyperlink"/>
          </w:rPr>
          <w:t xml:space="preserve">Inspect source / mirror →</w:t>
        </w:r>
      </w:hyperlink>
    </w:p>
    <w:p>
      <w:pPr>
        <w:pStyle w:val="BodyText"/>
      </w:pPr>
      <w:r>
        <w:t xml:space="preserve">Consulted primary</w:t>
      </w:r>
    </w:p>
    <w:bookmarkEnd w:id="267"/>
    <w:bookmarkStart w:id="269" w:name="dionysius-divine-names"/>
    <w:p>
      <w:pPr>
        <w:pStyle w:val="Heading3"/>
      </w:pPr>
      <w:r>
        <w:t xml:space="preserve">Dionysius, Divine Names</w:t>
      </w:r>
    </w:p>
    <w:p>
      <w:pPr>
        <w:pStyle w:val="FirstParagraph"/>
      </w:pPr>
      <w:r>
        <w:t xml:space="preserve">Calfa / GREgORI academic PG 3 Greek OCR, unproofread; selected clauses consulted.</w:t>
      </w:r>
    </w:p>
    <w:p>
      <w:pPr>
        <w:pStyle w:val="BodyText"/>
      </w:pPr>
      <w:r>
        <w:t xml:space="preserve">II.5, V.8, IX.6–7 support nonpartition and recipient-mode. OCR was not collated with a critical edition; exact wording remains provisional.</w:t>
      </w:r>
    </w:p>
    <w:p>
      <w:pPr>
        <w:pStyle w:val="BodyText"/>
      </w:pPr>
      <w:hyperlink r:id="rId268">
        <w:r>
          <w:rPr>
            <w:rStyle w:val="Hyperlink"/>
          </w:rPr>
          <w:t xml:space="preserve">Inspect source / mirror →</w:t>
        </w:r>
      </w:hyperlink>
    </w:p>
    <w:p>
      <w:pPr>
        <w:pStyle w:val="BodyText"/>
      </w:pPr>
      <w:r>
        <w:t xml:space="preserve">Consulted primary</w:t>
      </w:r>
    </w:p>
    <w:bookmarkEnd w:id="269"/>
    <w:bookmarkStart w:id="271" w:name="maximus-ambiguum-7"/>
    <w:p>
      <w:pPr>
        <w:pStyle w:val="Heading3"/>
      </w:pPr>
      <w:r>
        <w:t xml:space="preserve">Maximus, Ambiguum 7</w:t>
      </w:r>
    </w:p>
    <w:p>
      <w:pPr>
        <w:pStyle w:val="FirstParagraph"/>
      </w:pPr>
      <w:r>
        <w:t xml:space="preserve">Provisional Greek transcription mirror; source edition undocumented. Selected passage consulted.</w:t>
      </w:r>
    </w:p>
    <w:p>
      <w:pPr>
        <w:pStyle w:val="BodyText"/>
      </w:pPr>
      <w:r>
        <w:t xml:space="preserve">The passage distinguishes logoi/preknowledge from created actualization. Reliable Constas-edition verification remains pending.</w:t>
      </w:r>
    </w:p>
    <w:p>
      <w:pPr>
        <w:pStyle w:val="BodyText"/>
      </w:pPr>
      <w:hyperlink r:id="rId270">
        <w:r>
          <w:rPr>
            <w:rStyle w:val="Hyperlink"/>
          </w:rPr>
          <w:t xml:space="preserve">Inspect source / mirror →</w:t>
        </w:r>
      </w:hyperlink>
    </w:p>
    <w:p>
      <w:pPr>
        <w:pStyle w:val="BodyText"/>
      </w:pPr>
      <w:r>
        <w:t xml:space="preserve">Consulted primary</w:t>
      </w:r>
    </w:p>
    <w:bookmarkEnd w:id="271"/>
    <w:bookmarkStart w:id="273" w:name="plato-parmenides-timaeus-republic"/>
    <w:p>
      <w:pPr>
        <w:pStyle w:val="Heading3"/>
      </w:pPr>
      <w:r>
        <w:t xml:space="preserve">Plato, Parmenides; Timaeus; Republic</w:t>
      </w:r>
    </w:p>
    <w:p>
      <w:pPr>
        <w:pStyle w:val="FirstParagraph"/>
      </w:pPr>
      <w:r>
        <w:t xml:space="preserve">Benjamin Jowett translations, public-domain Gutenberg mirrors. Read selected passages; antiquated translations.</w:t>
      </w:r>
    </w:p>
    <w:p>
      <w:pPr>
        <w:pStyle w:val="BodyText"/>
      </w:pPr>
      <w:r>
        <w:t xml:space="preserve">The whole/part dilemma and exemplar language are verified; Greek philology is not supplied by these translations.</w:t>
      </w:r>
    </w:p>
    <w:p>
      <w:pPr>
        <w:pStyle w:val="BodyText"/>
      </w:pPr>
      <w:hyperlink r:id="rId272">
        <w:r>
          <w:rPr>
            <w:rStyle w:val="Hyperlink"/>
          </w:rPr>
          <w:t xml:space="preserve">Inspect source / mirror →</w:t>
        </w:r>
      </w:hyperlink>
    </w:p>
    <w:p>
      <w:pPr>
        <w:pStyle w:val="BodyText"/>
      </w:pPr>
      <w:r>
        <w:t xml:space="preserve">Consulted primary</w:t>
      </w:r>
    </w:p>
    <w:bookmarkEnd w:id="273"/>
    <w:bookmarkStart w:id="275" w:name="augustine-city-of-god-xi.10"/>
    <w:p>
      <w:pPr>
        <w:pStyle w:val="Heading3"/>
      </w:pPr>
      <w:r>
        <w:t xml:space="preserve">Augustine, City of God XI.10</w:t>
      </w:r>
    </w:p>
    <w:p>
      <w:pPr>
        <w:pStyle w:val="FirstParagraph"/>
      </w:pPr>
      <w:r>
        <w:t xml:space="preserve">Marcus Dods translation, vol. I; Gutenberg #45304. Selected chapter consulted.</w:t>
      </w:r>
    </w:p>
    <w:p>
      <w:pPr>
        <w:pStyle w:val="BodyText"/>
      </w:pPr>
      <w:r>
        <w:t xml:space="preserve">Simple God “is what it has”; received creaturely wisdom is contrasted with divine wisdom. Related q.46 remains a locus lead.</w:t>
      </w:r>
    </w:p>
    <w:p>
      <w:pPr>
        <w:pStyle w:val="BodyText"/>
      </w:pPr>
      <w:hyperlink r:id="rId274">
        <w:r>
          <w:rPr>
            <w:rStyle w:val="Hyperlink"/>
          </w:rPr>
          <w:t xml:space="preserve">Inspect source / mirror →</w:t>
        </w:r>
      </w:hyperlink>
    </w:p>
    <w:p>
      <w:pPr>
        <w:pStyle w:val="BodyText"/>
      </w:pPr>
      <w:r>
        <w:t xml:space="preserve">Consulted primary</w:t>
      </w:r>
    </w:p>
    <w:bookmarkEnd w:id="275"/>
    <w:bookmarkStart w:id="277" w:name="anselm-monologion"/>
    <w:p>
      <w:pPr>
        <w:pStyle w:val="Heading3"/>
      </w:pPr>
      <w:r>
        <w:t xml:space="preserve">Anselm, Monologion</w:t>
      </w:r>
    </w:p>
    <w:p>
      <w:pPr>
        <w:pStyle w:val="FirstParagraph"/>
      </w:pPr>
      <w:r>
        <w:t xml:space="preserve">Latin public-domain scan OCR mirror. Selected chapters consulted; OCR must be checked for quotation.</w:t>
      </w:r>
    </w:p>
    <w:p>
      <w:pPr>
        <w:pStyle w:val="BodyText"/>
      </w:pPr>
      <w:r>
        <w:t xml:space="preserve">Chapters 17, 31, and 34 anchor composition-dependence and asymmetric exemplar likeness; no unverified quotation is used.</w:t>
      </w:r>
    </w:p>
    <w:p>
      <w:pPr>
        <w:pStyle w:val="BodyText"/>
      </w:pPr>
      <w:hyperlink r:id="rId276">
        <w:r>
          <w:rPr>
            <w:rStyle w:val="Hyperlink"/>
          </w:rPr>
          <w:t xml:space="preserve">Inspect source / mirror →</w:t>
        </w:r>
      </w:hyperlink>
    </w:p>
    <w:p>
      <w:pPr>
        <w:pStyle w:val="BodyText"/>
      </w:pPr>
      <w:r>
        <w:t xml:space="preserve">Consulted primary</w:t>
      </w:r>
    </w:p>
    <w:bookmarkEnd w:id="277"/>
    <w:bookmarkStart w:id="279" w:name="aquinas-summa-theologiae-prima-pars"/>
    <w:p>
      <w:pPr>
        <w:pStyle w:val="Heading3"/>
      </w:pPr>
      <w:r>
        <w:t xml:space="preserve">Aquinas, Summa Theologiae, Prima Pars</w:t>
      </w:r>
    </w:p>
    <w:p>
      <w:pPr>
        <w:pStyle w:val="FirstParagraph"/>
      </w:pPr>
      <w:r>
        <w:t xml:space="preserve">English Dominican Fathers, Complete American Edition; Gutenberg #17611. Selected articles consulted.</w:t>
      </w:r>
    </w:p>
    <w:p>
      <w:pPr>
        <w:pStyle w:val="BodyText"/>
      </w:pPr>
      <w:r>
        <w:t xml:space="preserve">Causation of necessary beings, primary/secondary causality, divine ideas, analogy, simplicity, and mixed relations verified at article level.</w:t>
      </w:r>
    </w:p>
    <w:p>
      <w:pPr>
        <w:pStyle w:val="BodyText"/>
      </w:pPr>
      <w:hyperlink r:id="rId278">
        <w:r>
          <w:rPr>
            <w:rStyle w:val="Hyperlink"/>
          </w:rPr>
          <w:t xml:space="preserve">Inspect source / mirror →</w:t>
        </w:r>
      </w:hyperlink>
    </w:p>
    <w:p>
      <w:pPr>
        <w:pStyle w:val="BodyText"/>
      </w:pPr>
      <w:r>
        <w:t xml:space="preserve">Consulted primary</w:t>
      </w:r>
    </w:p>
    <w:bookmarkEnd w:id="279"/>
    <w:bookmarkStart w:id="281" w:name="X6807e461b9007fd7e3574e0367c6094f2be078c"/>
    <w:p>
      <w:pPr>
        <w:pStyle w:val="Heading3"/>
      </w:pPr>
      <w:r>
        <w:t xml:space="preserve">Newman, Essay on the Development of Christian Doctrine</w:t>
      </w:r>
    </w:p>
    <w:p>
      <w:pPr>
        <w:pStyle w:val="FirstParagraph"/>
      </w:pPr>
      <w:r>
        <w:t xml:space="preserve">Gutenberg #35110 mirror; chapter V consulted.</w:t>
      </w:r>
    </w:p>
    <w:p>
      <w:pPr>
        <w:pStyle w:val="BodyText"/>
      </w:pPr>
      <w:r>
        <w:t xml:space="preserve">The seven notes and their varying independence/applicability were checked. Newman is used analogically, not to certify a doctrine.</w:t>
      </w:r>
    </w:p>
    <w:p>
      <w:pPr>
        <w:pStyle w:val="BodyText"/>
      </w:pPr>
      <w:hyperlink r:id="rId280">
        <w:r>
          <w:rPr>
            <w:rStyle w:val="Hyperlink"/>
          </w:rPr>
          <w:t xml:space="preserve">Inspect source / mirror →</w:t>
        </w:r>
      </w:hyperlink>
    </w:p>
    <w:p>
      <w:pPr>
        <w:pStyle w:val="BodyText"/>
      </w:pPr>
      <w:r>
        <w:t xml:space="preserve">Consulted primary</w:t>
      </w:r>
    </w:p>
    <w:bookmarkEnd w:id="281"/>
    <w:bookmarkStart w:id="283" w:name="john-damascene-on-holy-images"/>
    <w:p>
      <w:pPr>
        <w:pStyle w:val="Heading3"/>
      </w:pPr>
      <w:r>
        <w:t xml:space="preserve">John Damascene, On Holy Images</w:t>
      </w:r>
    </w:p>
    <w:p>
      <w:pPr>
        <w:pStyle w:val="FirstParagraph"/>
      </w:pPr>
      <w:r>
        <w:t xml:space="preserve">Mary H. Allies, 1898; Gutenberg #49917 mirror. Selected image-type discussion consulted.</w:t>
      </w:r>
    </w:p>
    <w:p>
      <w:pPr>
        <w:pStyle w:val="BodyText"/>
      </w:pPr>
      <w:r>
        <w:t xml:space="preserve">Translation has an anachronistic identification in one passage; the dossier records it and restricts constructive use.</w:t>
      </w:r>
    </w:p>
    <w:p>
      <w:pPr>
        <w:pStyle w:val="BodyText"/>
      </w:pPr>
      <w:hyperlink r:id="rId282">
        <w:r>
          <w:rPr>
            <w:rStyle w:val="Hyperlink"/>
          </w:rPr>
          <w:t xml:space="preserve">Inspect source / mirror →</w:t>
        </w:r>
      </w:hyperlink>
    </w:p>
    <w:p>
      <w:pPr>
        <w:pStyle w:val="BodyText"/>
      </w:pPr>
      <w:r>
        <w:t xml:space="preserve">Consulted archive</w:t>
      </w:r>
    </w:p>
    <w:bookmarkEnd w:id="283"/>
    <w:bookmarkStart w:id="285" w:name="Xa9faa814d7121cbce7a13d9803a7280990a1b39"/>
    <w:p>
      <w:pPr>
        <w:pStyle w:val="Heading3"/>
      </w:pPr>
      <w:r>
        <w:t xml:space="preserve">Stanford Encyclopedia: archived article-body mirror</w:t>
      </w:r>
    </w:p>
    <w:p>
      <w:pPr>
        <w:pStyle w:val="FirstParagraph"/>
      </w:pPr>
      <w:r>
        <w:t xml:space="preserve">Readable SEP prose in philo2vec archive committed by August 2016; headers, bibliography, and individual revision dates absent.</w:t>
      </w:r>
    </w:p>
    <w:p>
      <w:pPr>
        <w:pStyle w:val="BodyText"/>
      </w:pPr>
      <w:r>
        <w:t xml:space="preserve">Selected Bonaventure, Henry, Anselm, Dionysius, Eriugena, Cusa and other entries consulted where recorded. This is archival secondary evidence, not a verified current edition.</w:t>
      </w:r>
    </w:p>
    <w:p>
      <w:pPr>
        <w:pStyle w:val="BodyText"/>
      </w:pPr>
      <w:hyperlink r:id="rId284">
        <w:r>
          <w:rPr>
            <w:rStyle w:val="Hyperlink"/>
          </w:rPr>
          <w:t xml:space="preserve">Inspect source / mirror →</w:t>
        </w:r>
      </w:hyperlink>
    </w:p>
    <w:p>
      <w:pPr>
        <w:pStyle w:val="BodyText"/>
      </w:pPr>
      <w:r>
        <w:t xml:space="preserve">Verification pending</w:t>
      </w:r>
    </w:p>
    <w:bookmarkEnd w:id="285"/>
    <w:bookmarkStart w:id="287" w:name="gregory-of-nyssa-life-of-moses"/>
    <w:p>
      <w:pPr>
        <w:pStyle w:val="Heading3"/>
      </w:pPr>
      <w:r>
        <w:t xml:space="preserve">Gregory of Nyssa, Life of Moses</w:t>
      </w:r>
    </w:p>
    <w:p>
      <w:pPr>
        <w:pStyle w:val="FirstParagraph"/>
      </w:pPr>
      <w:r>
        <w:t xml:space="preserve">Abraham J. Malherbe and Everett Ferguson, Paulist Press, 1978; II.230–239.</w:t>
      </w:r>
    </w:p>
    <w:p>
      <w:pPr>
        <w:pStyle w:val="BodyText"/>
      </w:pPr>
      <w:r>
        <w:t xml:space="preserve">Primary locus and scholarly bibliography supplied in dossier; full reliable translation was not directly consulted in this run.</w:t>
      </w:r>
    </w:p>
    <w:p>
      <w:pPr>
        <w:pStyle w:val="BodyText"/>
      </w:pPr>
      <w:hyperlink r:id="rId286">
        <w:r>
          <w:rPr>
            <w:rStyle w:val="Hyperlink"/>
          </w:rPr>
          <w:t xml:space="preserve">Open reference / research lead →</w:t>
        </w:r>
      </w:hyperlink>
    </w:p>
    <w:p>
      <w:pPr>
        <w:pStyle w:val="BodyText"/>
      </w:pPr>
      <w:r>
        <w:t xml:space="preserve">Verification pending</w:t>
      </w:r>
    </w:p>
    <w:bookmarkEnd w:id="287"/>
    <w:bookmarkStart w:id="289" w:name="X6c0300686bfadbf6009e0531476b8d307995010"/>
    <w:p>
      <w:pPr>
        <w:pStyle w:val="Heading3"/>
      </w:pPr>
      <w:r>
        <w:t xml:space="preserve">Dionysius / Maximus: modern critical translations</w:t>
      </w:r>
    </w:p>
    <w:p>
      <w:pPr>
        <w:pStyle w:val="FirstParagraph"/>
      </w:pPr>
      <w:r>
        <w:t xml:space="preserve">Colm Luibheid / Paul Rorem (1987); Nicholas Constas (2014).</w:t>
      </w:r>
    </w:p>
    <w:p>
      <w:pPr>
        <w:pStyle w:val="BodyText"/>
      </w:pPr>
      <w:r>
        <w:t xml:space="preserve">Digital primary witnesses and secondary archive prose were read. The reliable modern complete translations remain unconsulted.</w:t>
      </w:r>
    </w:p>
    <w:p>
      <w:pPr>
        <w:pStyle w:val="BodyText"/>
      </w:pPr>
      <w:hyperlink r:id="rId288">
        <w:r>
          <w:rPr>
            <w:rStyle w:val="Hyperlink"/>
          </w:rPr>
          <w:t xml:space="preserve">Open reference / research lead →</w:t>
        </w:r>
      </w:hyperlink>
    </w:p>
    <w:p>
      <w:pPr>
        <w:pStyle w:val="BodyText"/>
      </w:pPr>
      <w:r>
        <w:t xml:space="preserve">Verification pending</w:t>
      </w:r>
    </w:p>
    <w:bookmarkEnd w:id="289"/>
    <w:bookmarkStart w:id="291" w:name="henry-of-ghent-duns-scotus"/>
    <w:p>
      <w:pPr>
        <w:pStyle w:val="Heading3"/>
      </w:pPr>
      <w:r>
        <w:t xml:space="preserve">Henry of Ghent; Duns Scotus</w:t>
      </w:r>
    </w:p>
    <w:p>
      <w:pPr>
        <w:pStyle w:val="FirstParagraph"/>
      </w:pPr>
      <w:r>
        <w:t xml:space="preserve">Critical scholastic editions and specialist works listed in the dossiers.</w:t>
      </w:r>
    </w:p>
    <w:p>
      <w:pPr>
        <w:pStyle w:val="BodyText"/>
      </w:pPr>
      <w:r>
        <w:t xml:space="preserve">Henry archived secondary prose consulted. Primary Henry and Scotus loci are leads, not claims of new primary-text verification.</w:t>
      </w:r>
    </w:p>
    <w:p>
      <w:pPr>
        <w:pStyle w:val="BodyText"/>
      </w:pPr>
      <w:hyperlink r:id="rId290">
        <w:r>
          <w:rPr>
            <w:rStyle w:val="Hyperlink"/>
          </w:rPr>
          <w:t xml:space="preserve">Open reference / research lead →</w:t>
        </w:r>
      </w:hyperlink>
    </w:p>
    <w:p>
      <w:pPr>
        <w:pStyle w:val="BodyText"/>
      </w:pPr>
      <w:r>
        <w:t xml:space="preserve">Verification pending</w:t>
      </w:r>
    </w:p>
    <w:bookmarkEnd w:id="291"/>
    <w:bookmarkStart w:id="293" w:name="przywara-analogia-entis-palamas-triads"/>
    <w:p>
      <w:pPr>
        <w:pStyle w:val="Heading3"/>
      </w:pPr>
      <w:r>
        <w:t xml:space="preserve">Przywara, Analogia Entis; Palamas, Triads</w:t>
      </w:r>
    </w:p>
    <w:p>
      <w:pPr>
        <w:pStyle w:val="FirstParagraph"/>
      </w:pPr>
      <w:r>
        <w:t xml:space="preserve">John R. Betz / David Bentley Hart (2014); Nicholas Gendle (1983).</w:t>
      </w:r>
    </w:p>
    <w:p>
      <w:pPr>
        <w:pStyle w:val="BodyText"/>
      </w:pPr>
      <w:r>
        <w:t xml:space="preserve">Structural safeguards and bibliography supplied. Full primary works not consulted; no claim that their disputed models are identical.</w:t>
      </w:r>
    </w:p>
    <w:p>
      <w:pPr>
        <w:pStyle w:val="BodyText"/>
      </w:pPr>
      <w:hyperlink r:id="rId292">
        <w:r>
          <w:rPr>
            <w:rStyle w:val="Hyperlink"/>
          </w:rPr>
          <w:t xml:space="preserve">Open reference / research lead →</w:t>
        </w:r>
      </w:hyperlink>
    </w:p>
    <w:p>
      <w:pPr>
        <w:pStyle w:val="BodyText"/>
      </w:pPr>
      <w:r>
        <w:t xml:space="preserve">Verification pending</w:t>
      </w:r>
    </w:p>
    <w:bookmarkEnd w:id="293"/>
    <w:bookmarkStart w:id="294" w:name="specialist-scholarship-across-the-field"/>
    <w:p>
      <w:pPr>
        <w:pStyle w:val="Heading3"/>
      </w:pPr>
      <w:r>
        <w:t xml:space="preserve">Specialist scholarship across the field</w:t>
      </w:r>
    </w:p>
    <w:p>
      <w:pPr>
        <w:pStyle w:val="FirstParagraph"/>
      </w:pPr>
      <w:r>
        <w:t xml:space="preserve">Dossiers distinguish consulted archive prose from bibliographic leads: Balás, Rorem, Perl, Blowers, Moran, McGinn, Noone/Houser, Porro/Pickavé, Wippel, Cross and Betz.</w:t>
      </w:r>
    </w:p>
    <w:p>
      <w:pPr>
        <w:pStyle w:val="BodyText"/>
      </w:pPr>
      <w:r>
        <w:t xml:space="preserve">A research map rather than a completed critical-edition survey. No bibliography entry is silently treated as a book read.</w:t>
      </w:r>
    </w:p>
    <w:p>
      <w:pPr>
        <w:pStyle w:val="BodyText"/>
      </w:pPr>
      <w:hyperlink r:id="rId223">
        <w:r>
          <w:rPr>
            <w:rStyle w:val="Hyperlink"/>
          </w:rPr>
          <w:t xml:space="preserve">Open reference / research lead →</w:t>
        </w:r>
      </w:hyperlink>
    </w:p>
    <w:bookmarkEnd w:id="294"/>
    <w:p>
      <w:pPr>
        <w:pStyle w:val="BodyText"/>
      </w:pPr>
      <w:r>
        <w:t xml:space="preserve">Translations and archived mirrors are identified rather than presented as critical editions. Dossiers supply specialist bibliographies and the questions requiring renewed primary verification.</w:t>
      </w:r>
    </w:p>
    <w:bookmarkStart w:id="302" w:name="follow-this-thread-across-both-projects"/>
    <w:p>
      <w:pPr>
        <w:pStyle w:val="Heading3"/>
      </w:pPr>
      <w:r>
        <w:t xml:space="preserve">Follow this thread</w:t>
      </w:r>
      <w:r>
        <w:t xml:space="preserve"> </w:t>
      </w:r>
      <w:r>
        <w:t xml:space="preserve">Across both projects</w:t>
      </w:r>
    </w:p>
    <w:p>
      <w:pPr>
        <w:pStyle w:val="FirstParagraph"/>
      </w:pPr>
      <w:r>
        <w:t xml:space="preserve">Continue the question through its foundations, related studies, and working definitions. Each argument retains its own premises and warrant.</w:t>
      </w:r>
    </w:p>
    <w:bookmarkStart w:id="295" w:name="within-this-inquiry"/>
    <w:p>
      <w:pPr>
        <w:pStyle w:val="Heading3"/>
      </w:pPr>
      <w:r>
        <w:t xml:space="preserve">Within this inquiry</w:t>
      </w:r>
    </w:p>
    <w:p>
      <w:pPr>
        <w:pStyle w:val="Compact"/>
        <w:numPr>
          <w:ilvl w:val="0"/>
          <w:numId w:val="1002"/>
        </w:numPr>
      </w:pPr>
      <w:hyperlink r:id="rId73">
        <w:r>
          <w:rPr>
            <w:rStyle w:val="Hyperlink"/>
          </w:rPr>
          <w:t xml:space="preserve">Beyond Participation</w:t>
        </w:r>
      </w:hyperlink>
    </w:p>
    <w:p>
      <w:pPr>
        <w:pStyle w:val="Compact"/>
        <w:numPr>
          <w:ilvl w:val="0"/>
          <w:numId w:val="1002"/>
        </w:numPr>
      </w:pPr>
      <w:hyperlink r:id="rId75">
        <w:r>
          <w:rPr>
            <w:rStyle w:val="Hyperlink"/>
          </w:rPr>
          <w:t xml:space="preserve">Divine Agency</w:t>
        </w:r>
      </w:hyperlink>
    </w:p>
    <w:bookmarkEnd w:id="295"/>
    <w:bookmarkStart w:id="298" w:name="across-the-two-sites"/>
    <w:p>
      <w:pPr>
        <w:pStyle w:val="Heading3"/>
      </w:pPr>
      <w:r>
        <w:t xml:space="preserve">Across the two sites</w:t>
      </w:r>
    </w:p>
    <w:p>
      <w:pPr>
        <w:pStyle w:val="Compact"/>
        <w:numPr>
          <w:ilvl w:val="0"/>
          <w:numId w:val="1003"/>
        </w:numPr>
      </w:pPr>
      <w:hyperlink r:id="rId296">
        <w:r>
          <w:rPr>
            <w:rStyle w:val="Hyperlink"/>
          </w:rPr>
          <w:t xml:space="preserve">Read with Dionysius</w:t>
        </w:r>
      </w:hyperlink>
    </w:p>
    <w:p>
      <w:pPr>
        <w:pStyle w:val="Compact"/>
        <w:numPr>
          <w:ilvl w:val="0"/>
          <w:numId w:val="1003"/>
        </w:numPr>
      </w:pPr>
      <w:hyperlink r:id="rId297">
        <w:r>
          <w:rPr>
            <w:rStyle w:val="Hyperlink"/>
          </w:rPr>
          <w:t xml:space="preserve">One universal source</w:t>
        </w:r>
      </w:hyperlink>
    </w:p>
    <w:bookmarkEnd w:id="298"/>
    <w:bookmarkStart w:id="301" w:name="essays-and-studies"/>
    <w:p>
      <w:pPr>
        <w:pStyle w:val="Heading3"/>
      </w:pPr>
      <w:r>
        <w:t xml:space="preserve">Essays and studies</w:t>
      </w:r>
    </w:p>
    <w:p>
      <w:pPr>
        <w:pStyle w:val="Compact"/>
        <w:numPr>
          <w:ilvl w:val="0"/>
          <w:numId w:val="1004"/>
        </w:numPr>
      </w:pPr>
      <w:hyperlink r:id="rId299">
        <w:r>
          <w:rPr>
            <w:rStyle w:val="Hyperlink"/>
          </w:rPr>
          <w:t xml:space="preserve">What participation means</w:t>
        </w:r>
      </w:hyperlink>
    </w:p>
    <w:p>
      <w:pPr>
        <w:pStyle w:val="Compact"/>
        <w:numPr>
          <w:ilvl w:val="0"/>
          <w:numId w:val="1004"/>
        </w:numPr>
      </w:pPr>
      <w:hyperlink r:id="rId300">
        <w:r>
          <w:rPr>
            <w:rStyle w:val="Hyperlink"/>
          </w:rPr>
          <w:t xml:space="preserve">Why distinctions matter</w:t>
        </w:r>
      </w:hyperlink>
    </w:p>
    <w:bookmarkEnd w:id="301"/>
    <w:p>
      <w:pPr>
        <w:pStyle w:val="FirstParagraph"/>
      </w:pPr>
      <w:r>
        <w:rPr>
          <w:b/>
          <w:bCs/>
        </w:rPr>
        <w:t xml:space="preserve">Clarify a term:</w:t>
      </w:r>
      <w:r>
        <w:t xml:space="preserve"> </w:t>
      </w:r>
      <w:hyperlink r:id="rId22">
        <w:r>
          <w:rPr>
            <w:rStyle w:val="Hyperlink"/>
          </w:rPr>
          <w:t xml:space="preserve">Actuality</w:t>
        </w:r>
      </w:hyperlink>
      <w:r>
        <w:t xml:space="preserve"> </w:t>
      </w:r>
      <w:r>
        <w:t xml:space="preserve">·</w:t>
      </w:r>
      <w:r>
        <w:t xml:space="preserve"> </w:t>
      </w:r>
      <w:hyperlink r:id="rId23">
        <w:r>
          <w:rPr>
            <w:rStyle w:val="Hyperlink"/>
          </w:rPr>
          <w:t xml:space="preserve">Productive causation</w:t>
        </w:r>
      </w:hyperlink>
      <w:r>
        <w:t xml:space="preserve"> </w:t>
      </w:r>
      <w:r>
        <w:t xml:space="preserve">·</w:t>
      </w:r>
      <w:r>
        <w:t xml:space="preserve"> </w:t>
      </w:r>
      <w:hyperlink r:id="rId24">
        <w:r>
          <w:rPr>
            <w:rStyle w:val="Hyperlink"/>
          </w:rPr>
          <w:t xml:space="preserve">Ontological dependence</w:t>
        </w:r>
      </w:hyperlink>
      <w:r>
        <w:t xml:space="preserve"> </w:t>
      </w:r>
      <w:r>
        <w:t xml:space="preserve">·</w:t>
      </w:r>
      <w:r>
        <w:t xml:space="preserve"> </w:t>
      </w:r>
      <w:hyperlink r:id="rId25">
        <w:r>
          <w:rPr>
            <w:rStyle w:val="Hyperlink"/>
          </w:rPr>
          <w:t xml:space="preserve">Grounding</w:t>
        </w:r>
      </w:hyperlink>
    </w:p>
    <w:bookmarkEnd w:id="302"/>
    <w:p>
      <w:pPr>
        <w:pStyle w:val="Heading1"/>
      </w:pPr>
      <w:r>
        <w:t xml:space="preserve">Interactive material — complete static record</w:t>
      </w:r>
    </w:p>
    <w:bookmarkStart w:id="307" w:name="part-i-interactive-content-backup"/>
    <w:p>
      <w:pPr>
        <w:pStyle w:val="Heading2"/>
      </w:pPr>
      <w:r>
        <w:t xml:space="preserve">Part I — Interactive content backup</w:t>
      </w:r>
    </w:p>
    <w:p>
      <w:pPr>
        <w:pStyle w:val="FirstParagraph"/>
      </w:pPr>
      <w:r>
        <w:t xml:space="preserve">This appendix preserves information behind the page’s interactive deletion controls. The main page snapshot already includes the primitive definitions, clause statements and formulas, all fifteen theorem assessments, and historical/source cards. Programmed path availability is not proof of philosophical truth or universal underivability. The exact theorem qualifications remain in force.</w:t>
      </w:r>
    </w:p>
    <w:bookmarkStart w:id="303" w:name="the-three-optional-extensions"/>
    <w:p>
      <w:pPr>
        <w:pStyle w:val="Heading3"/>
      </w:pPr>
      <w:r>
        <w:t xml:space="preserve">The three optional extensions</w:t>
      </w:r>
    </w:p>
    <w:tbl>
      <w:tblPr>
        <w:tblStyle w:val="TableGrid"/>
        <w:tblW w:type="dxa" w:w="9936"/>
        <w:jc w:val="left"/>
        <w:tblLayout w:type="fixed"/>
        <w:tblLook w:firstRow="1" w:lastRow="0" w:firstColumn="0" w:lastColumn="0" w:noHBand="0" w:noVBand="0" w:val="0020"/>
      </w:tblPr>
      <w:tblGrid>
        <w:gridCol w:w="1689"/>
        <w:gridCol w:w="2749"/>
        <w:gridCol w:w="2749"/>
        <w:gridCol w:w="2749"/>
      </w:tblGrid>
      <w:tr>
        <w:trPr>
          <w:tblHeader w:val="true"/>
        </w:trPr>
        <w:tc>
          <w:tcPr>
            <w:tcW w:type="dxa" w:w="1689"/>
            <w:shd w:fill="EAE5DA"/>
          </w:tcPr>
          <w:p>
            <w:pPr>
              <w:pStyle w:val="BodyText"/>
              <w:keepNext w:val="0"/>
              <w:spacing w:after="80" w:line="252" w:lineRule="auto"/>
              <w:jc w:val="left"/>
            </w:pPr>
            <w:r>
              <w:rPr>
                <w:rFonts w:ascii="Calibri" w:hAnsi="Calibri"/>
                <w:b/>
                <w:sz w:val="17"/>
              </w:rPr>
              <w:t xml:space="preserve">Label</w:t>
            </w:r>
          </w:p>
        </w:tc>
        <w:tc>
          <w:tcPr>
            <w:tcW w:type="dxa" w:w="2749"/>
            <w:shd w:fill="EAE5DA"/>
          </w:tcPr>
          <w:p>
            <w:pPr>
              <w:pStyle w:val="BodyText"/>
              <w:keepNext w:val="0"/>
              <w:spacing w:after="80" w:line="252" w:lineRule="auto"/>
              <w:jc w:val="left"/>
            </w:pPr>
            <w:r>
              <w:rPr>
                <w:rFonts w:ascii="Calibri" w:hAnsi="Calibri"/>
                <w:b/>
                <w:sz w:val="17"/>
              </w:rPr>
              <w:t xml:space="preserve">Name</w:t>
            </w:r>
          </w:p>
        </w:tc>
        <w:tc>
          <w:tcPr>
            <w:tcW w:type="dxa" w:w="2749"/>
            <w:shd w:fill="EAE5DA"/>
          </w:tcPr>
          <w:p>
            <w:pPr>
              <w:pStyle w:val="BodyText"/>
              <w:keepNext w:val="0"/>
              <w:spacing w:after="80" w:line="252" w:lineRule="auto"/>
              <w:jc w:val="left"/>
            </w:pPr>
            <w:r>
              <w:rPr>
                <w:rFonts w:ascii="Calibri" w:hAnsi="Calibri"/>
                <w:b/>
                <w:sz w:val="17"/>
              </w:rPr>
              <w:t xml:space="preserve">Statement</w:t>
            </w:r>
          </w:p>
        </w:tc>
        <w:tc>
          <w:tcPr>
            <w:tcW w:type="dxa" w:w="2749"/>
            <w:shd w:fill="EAE5DA"/>
          </w:tcPr>
          <w:p>
            <w:pPr>
              <w:pStyle w:val="BodyText"/>
              <w:keepNext w:val="0"/>
              <w:spacing w:after="80" w:line="252" w:lineRule="auto"/>
              <w:jc w:val="left"/>
            </w:pPr>
            <w:r>
              <w:rPr>
                <w:rFonts w:ascii="Calibri" w:hAnsi="Calibri"/>
                <w:b/>
                <w:sz w:val="17"/>
              </w:rPr>
              <w:t xml:space="preserve">Deletion consequence</w:t>
            </w:r>
          </w:p>
        </w:tc>
      </w:tr>
      <w:tr>
        <w:tc>
          <w:tcPr>
            <w:tcW w:type="dxa" w:w="1689"/>
          </w:tcPr>
          <w:p>
            <w:pPr>
              <w:pStyle w:val="BodyText"/>
              <w:keepNext w:val="0"/>
              <w:spacing w:after="80" w:line="252" w:lineRule="auto"/>
              <w:jc w:val="left"/>
            </w:pPr>
            <w:r>
              <w:rPr>
                <w:rFonts w:ascii="Calibri" w:hAnsi="Calibri"/>
                <w:sz w:val="17"/>
              </w:rPr>
              <w:t xml:space="preserve">N</w:t>
            </w:r>
          </w:p>
        </w:tc>
        <w:tc>
          <w:tcPr>
            <w:tcW w:type="dxa" w:w="2749"/>
          </w:tcPr>
          <w:p>
            <w:pPr>
              <w:pStyle w:val="BodyText"/>
              <w:keepNext w:val="0"/>
              <w:spacing w:after="80" w:line="252" w:lineRule="auto"/>
              <w:jc w:val="left"/>
            </w:pPr>
            <w:r>
              <w:rPr>
                <w:rFonts w:ascii="Calibri" w:hAnsi="Calibri"/>
                <w:sz w:val="17"/>
              </w:rPr>
              <w:t xml:space="preserve">Natural genus constitutes its members</w:t>
            </w:r>
          </w:p>
        </w:tc>
        <w:tc>
          <w:tcPr>
            <w:tcW w:type="dxa" w:w="2749"/>
          </w:tcPr>
          <w:p>
            <w:pPr>
              <w:pStyle w:val="BodyText"/>
              <w:keepNext w:val="0"/>
              <w:spacing w:after="80" w:line="252" w:lineRule="auto"/>
              <w:jc w:val="left"/>
            </w:pPr>
            <w:r>
              <w:rPr>
                <w:rFonts w:ascii="Calibri" w:hAnsi="Calibri"/>
                <w:sz w:val="17"/>
              </w:rPr>
              <w:t xml:space="preserve">A natural genus plus specific determination supplies distinct intrinsic principles. A simple source cannot be a member of such a genus. A shared logical concept of being is not thereby a natural genus.</w:t>
            </w:r>
          </w:p>
        </w:tc>
        <w:tc>
          <w:tcPr>
            <w:tcW w:type="dxa" w:w="2749"/>
          </w:tcPr>
          <w:p>
            <w:pPr>
              <w:pStyle w:val="BodyText"/>
              <w:keepNext w:val="0"/>
              <w:spacing w:after="80" w:line="252" w:lineRule="auto"/>
              <w:jc w:val="left"/>
            </w:pPr>
            <w:r>
              <w:rPr>
                <w:rFonts w:ascii="Calibri" w:hAnsi="Calibri"/>
                <w:sz w:val="17"/>
              </w:rPr>
              <w:t xml:space="preserve">A genus predicate can include source and effects without implying any composition. The strict no-common-genus theorem fails.</w:t>
            </w:r>
          </w:p>
        </w:tc>
      </w:tr>
      <w:tr>
        <w:tc>
          <w:tcPr>
            <w:tcW w:type="dxa" w:w="1689"/>
          </w:tcPr>
          <w:p>
            <w:pPr>
              <w:pStyle w:val="BodyText"/>
              <w:keepNext w:val="0"/>
              <w:spacing w:after="80" w:line="252" w:lineRule="auto"/>
              <w:jc w:val="left"/>
            </w:pPr>
            <w:r>
              <w:rPr>
                <w:rFonts w:ascii="Calibri" w:hAnsi="Calibri"/>
                <w:sz w:val="17"/>
              </w:rPr>
              <w:t xml:space="preserve">V</w:t>
            </w:r>
          </w:p>
        </w:tc>
        <w:tc>
          <w:tcPr>
            <w:tcW w:type="dxa" w:w="2749"/>
          </w:tcPr>
          <w:p>
            <w:pPr>
              <w:pStyle w:val="BodyText"/>
              <w:keepNext w:val="0"/>
              <w:spacing w:after="80" w:line="252" w:lineRule="auto"/>
              <w:jc w:val="left"/>
            </w:pPr>
            <w:r>
              <w:rPr>
                <w:rFonts w:ascii="Calibri" w:hAnsi="Calibri"/>
                <w:sz w:val="17"/>
              </w:rPr>
              <w:t xml:space="preserve">A genuine no-creation alternative</w:t>
            </w:r>
          </w:p>
        </w:tc>
        <w:tc>
          <w:tcPr>
            <w:tcW w:type="dxa" w:w="2749"/>
          </w:tcPr>
          <w:p>
            <w:pPr>
              <w:pStyle w:val="BodyText"/>
              <w:keepNext w:val="0"/>
              <w:spacing w:after="80" w:line="252" w:lineRule="auto"/>
              <w:jc w:val="left"/>
            </w:pPr>
            <w:r>
              <w:rPr>
                <w:rFonts w:ascii="Calibri" w:hAnsi="Calibri"/>
                <w:sz w:val="17"/>
              </w:rPr>
              <w:t xml:space="preserve">For the considered creation, a genuinely possible alternative has the same intrinsic divine fullness and no created actuality. This strong extra premise makes every finite expression contingent. Merely two different created worlds establish only some contingency.</w:t>
            </w:r>
          </w:p>
        </w:tc>
        <w:tc>
          <w:tcPr>
            <w:tcW w:type="dxa" w:w="2749"/>
          </w:tcPr>
          <w:p>
            <w:pPr>
              <w:pStyle w:val="BodyText"/>
              <w:keepNext w:val="0"/>
              <w:spacing w:after="80" w:line="252" w:lineRule="auto"/>
              <w:jc w:val="left"/>
            </w:pPr>
            <w:r>
              <w:rPr>
                <w:rFonts w:ascii="Calibri" w:hAnsi="Calibri"/>
                <w:sz w:val="17"/>
              </w:rPr>
              <w:t xml:space="preserve">An infinite, non-exhausted source can nevertheless necessitate one fixed emanation. Non-exhaustion does not generate contingency.</w:t>
            </w:r>
          </w:p>
        </w:tc>
      </w:tr>
      <w:tr>
        <w:tc>
          <w:tcPr>
            <w:tcW w:type="dxa" w:w="1689"/>
          </w:tcPr>
          <w:p>
            <w:pPr>
              <w:pStyle w:val="BodyText"/>
              <w:keepNext w:val="0"/>
              <w:spacing w:after="80" w:line="252" w:lineRule="auto"/>
              <w:jc w:val="left"/>
            </w:pPr>
            <w:r>
              <w:rPr>
                <w:rFonts w:ascii="Calibri" w:hAnsi="Calibri"/>
                <w:sz w:val="17"/>
              </w:rPr>
              <w:t xml:space="preserve">W</w:t>
            </w:r>
          </w:p>
        </w:tc>
        <w:tc>
          <w:tcPr>
            <w:tcW w:type="dxa" w:w="2749"/>
          </w:tcPr>
          <w:p>
            <w:pPr>
              <w:pStyle w:val="BodyText"/>
              <w:keepNext w:val="0"/>
              <w:spacing w:after="80" w:line="252" w:lineRule="auto"/>
              <w:jc w:val="left"/>
            </w:pPr>
            <w:r>
              <w:rPr>
                <w:rFonts w:ascii="Calibri" w:hAnsi="Calibri"/>
                <w:sz w:val="17"/>
              </w:rPr>
              <w:t xml:space="preserve">Intentional self-determination</w:t>
            </w:r>
          </w:p>
        </w:tc>
        <w:tc>
          <w:tcPr>
            <w:tcW w:type="dxa" w:w="2749"/>
          </w:tcPr>
          <w:p>
            <w:pPr>
              <w:pStyle w:val="BodyText"/>
              <w:keepNext w:val="0"/>
              <w:spacing w:after="80" w:line="252" w:lineRule="auto"/>
              <w:jc w:val="left"/>
            </w:pPr>
            <w:r>
              <w:rPr>
                <w:rFonts w:ascii="Calibri" w:hAnsi="Calibri"/>
                <w:sz w:val="17"/>
              </w:rPr>
              <w:t xml:space="preserve">Intelligent willing selects among the alternatives, without a necessitating rule from intrinsic nature, external dependence, intrinsic lack, or unique maximization. This is an additional account of free agency, not a theorem of modal openness.</w:t>
            </w:r>
          </w:p>
        </w:tc>
        <w:tc>
          <w:tcPr>
            <w:tcW w:type="dxa" w:w="2749"/>
          </w:tcPr>
          <w:p>
            <w:pPr>
              <w:pStyle w:val="BodyText"/>
              <w:keepNext w:val="0"/>
              <w:spacing w:after="80" w:line="252" w:lineRule="auto"/>
              <w:jc w:val="left"/>
            </w:pPr>
            <w:r>
              <w:rPr>
                <w:rFonts w:ascii="Calibri" w:hAnsi="Calibri"/>
                <w:sz w:val="17"/>
              </w:rPr>
              <w:t xml:space="preserve">Contingency may be brute or stochastic, or willing may remain intrinsically necessitated. Alternatives alone establish no free intentional creation.</w:t>
            </w:r>
          </w:p>
        </w:tc>
      </w:tr>
    </w:tbl>
    <w:bookmarkEnd w:id="303"/>
    <w:bookmarkStart w:id="304" w:name="nine-clause-deletion-diagnostics"/>
    <w:p>
      <w:pPr>
        <w:pStyle w:val="Heading3"/>
      </w:pPr>
      <w:r>
        <w:t xml:space="preserve">Nine clause-deletion diagnostics</w:t>
      </w:r>
    </w:p>
    <w:tbl>
      <w:tblPr>
        <w:tblStyle w:val="TableGrid"/>
        <w:tblW w:type="dxa" w:w="9936"/>
        <w:jc w:val="left"/>
        <w:tblLayout w:type="fixed"/>
        <w:tblLook w:firstRow="1" w:lastRow="0" w:firstColumn="0" w:lastColumn="0" w:noHBand="0" w:noVBand="0" w:val="0020"/>
      </w:tblPr>
      <w:tblGrid>
        <w:gridCol w:w="3312"/>
        <w:gridCol w:w="3312"/>
        <w:gridCol w:w="3312"/>
      </w:tblGrid>
      <w:tr>
        <w:trPr>
          <w:tblHeader w:val="true"/>
        </w:trPr>
        <w:tc>
          <w:tcPr>
            <w:tcW w:type="dxa" w:w="3312"/>
            <w:shd w:fill="EAE5DA"/>
          </w:tcPr>
          <w:p>
            <w:pPr>
              <w:pStyle w:val="BodyText"/>
              <w:keepNext w:val="0"/>
              <w:spacing w:after="80" w:line="252" w:lineRule="auto"/>
              <w:jc w:val="left"/>
            </w:pPr>
            <w:r>
              <w:rPr>
                <w:rFonts w:ascii="Calibri" w:hAnsi="Calibri"/>
                <w:b/>
                <w:sz w:val="17"/>
              </w:rPr>
              <w:t xml:space="preserve">Deleted clause</w:t>
            </w:r>
          </w:p>
        </w:tc>
        <w:tc>
          <w:tcPr>
            <w:tcW w:type="dxa" w:w="3312"/>
            <w:shd w:fill="EAE5DA"/>
          </w:tcPr>
          <w:p>
            <w:pPr>
              <w:pStyle w:val="BodyText"/>
              <w:keepNext w:val="0"/>
              <w:spacing w:after="80" w:line="252" w:lineRule="auto"/>
              <w:jc w:val="left"/>
            </w:pPr>
            <w:r>
              <w:rPr>
                <w:rFonts w:ascii="Calibri" w:hAnsi="Calibri"/>
                <w:b/>
                <w:sz w:val="17"/>
              </w:rPr>
              <w:t xml:space="preserve">Rival / information lost</w:t>
            </w:r>
          </w:p>
        </w:tc>
        <w:tc>
          <w:tcPr>
            <w:tcW w:type="dxa" w:w="3312"/>
            <w:shd w:fill="EAE5DA"/>
          </w:tcPr>
          <w:p>
            <w:pPr>
              <w:pStyle w:val="BodyText"/>
              <w:keepNext w:val="0"/>
              <w:spacing w:after="80" w:line="252" w:lineRule="auto"/>
              <w:jc w:val="left"/>
            </w:pPr>
            <w:r>
              <w:rPr>
                <w:rFonts w:ascii="Calibri" w:hAnsi="Calibri"/>
                <w:b/>
                <w:sz w:val="17"/>
              </w:rPr>
              <w:t xml:space="preserve">Deletion consequence</w:t>
            </w:r>
          </w:p>
        </w:tc>
      </w:tr>
      <w:tr>
        <w:tc>
          <w:tcPr>
            <w:tcW w:type="dxa" w:w="3312"/>
          </w:tcPr>
          <w:p>
            <w:pPr>
              <w:pStyle w:val="BodyText"/>
              <w:keepNext w:val="0"/>
              <w:spacing w:after="80" w:line="252" w:lineRule="auto"/>
              <w:jc w:val="left"/>
            </w:pPr>
            <w:r>
              <w:rPr>
                <w:rFonts w:ascii="Calibri" w:hAnsi="Calibri"/>
                <w:sz w:val="17"/>
              </w:rPr>
              <w:t xml:space="preserve">G — Universal sustaining causality</w:t>
            </w:r>
          </w:p>
        </w:tc>
        <w:tc>
          <w:tcPr>
            <w:tcW w:type="dxa" w:w="3312"/>
          </w:tcPr>
          <w:p>
            <w:pPr>
              <w:pStyle w:val="BodyText"/>
              <w:keepNext w:val="0"/>
              <w:spacing w:after="80" w:line="252" w:lineRule="auto"/>
              <w:jc w:val="left"/>
            </w:pPr>
            <w:r>
              <w:rPr>
                <w:rFonts w:ascii="Calibri" w:hAnsi="Calibri"/>
                <w:sz w:val="17"/>
              </w:rPr>
              <w:t xml:space="preserve">Deistic or immanent remainder: some actual perfection persists without the designated source.</w:t>
            </w:r>
          </w:p>
        </w:tc>
        <w:tc>
          <w:tcPr>
            <w:tcW w:type="dxa" w:w="3312"/>
          </w:tcPr>
          <w:p>
            <w:pPr>
              <w:pStyle w:val="BodyText"/>
              <w:keepNext w:val="0"/>
              <w:spacing w:after="80" w:line="252" w:lineRule="auto"/>
              <w:jc w:val="left"/>
            </w:pPr>
            <w:r>
              <w:rPr>
                <w:rFonts w:ascii="Calibri" w:hAnsi="Calibri"/>
                <w:sz w:val="17"/>
              </w:rPr>
              <w:t xml:space="preserve">A genuinely actual creature with no source remains possible. Dependence “in every moment” cannot then be claimed.</w:t>
            </w:r>
          </w:p>
        </w:tc>
      </w:tr>
      <w:tr>
        <w:tc>
          <w:tcPr>
            <w:tcW w:type="dxa" w:w="3312"/>
          </w:tcPr>
          <w:p>
            <w:pPr>
              <w:pStyle w:val="BodyText"/>
              <w:keepNext w:val="0"/>
              <w:spacing w:after="80" w:line="252" w:lineRule="auto"/>
              <w:jc w:val="left"/>
            </w:pPr>
            <w:r>
              <w:rPr>
                <w:rFonts w:ascii="Calibri" w:hAnsi="Calibri"/>
                <w:sz w:val="17"/>
              </w:rPr>
              <w:t xml:space="preserve">CP — Causal dependence</w:t>
            </w:r>
          </w:p>
        </w:tc>
        <w:tc>
          <w:tcPr>
            <w:tcW w:type="dxa" w:w="3312"/>
          </w:tcPr>
          <w:p>
            <w:pPr>
              <w:pStyle w:val="BodyText"/>
              <w:keepNext w:val="0"/>
              <w:spacing w:after="80" w:line="252" w:lineRule="auto"/>
              <w:jc w:val="left"/>
            </w:pPr>
            <w:r>
              <w:rPr>
                <w:rFonts w:ascii="Calibri" w:hAnsi="Calibri"/>
                <w:sz w:val="17"/>
              </w:rPr>
              <w:t xml:space="preserve">A merely succession-based causal model, with C but no corresponding D.</w:t>
            </w:r>
          </w:p>
        </w:tc>
        <w:tc>
          <w:tcPr>
            <w:tcW w:type="dxa" w:w="3312"/>
          </w:tcPr>
          <w:p>
            <w:pPr>
              <w:pStyle w:val="BodyText"/>
              <w:keepNext w:val="0"/>
              <w:spacing w:after="80" w:line="252" w:lineRule="auto"/>
              <w:jc w:val="left"/>
            </w:pPr>
            <w:r>
              <w:rPr>
                <w:rFonts w:ascii="Calibri" w:hAnsi="Calibri"/>
                <w:sz w:val="17"/>
              </w:rPr>
              <w:t xml:space="preserve">Causal arrows can coexist with no ontological dependence. Production no longer establishes the Creator–creature interval.</w:t>
            </w:r>
          </w:p>
        </w:tc>
      </w:tr>
      <w:tr>
        <w:tc>
          <w:tcPr>
            <w:tcW w:type="dxa" w:w="3312"/>
          </w:tcPr>
          <w:p>
            <w:pPr>
              <w:pStyle w:val="BodyText"/>
              <w:keepNext w:val="0"/>
              <w:spacing w:after="80" w:line="252" w:lineRule="auto"/>
              <w:jc w:val="left"/>
            </w:pPr>
            <w:r>
              <w:rPr>
                <w:rFonts w:ascii="Calibri" w:hAnsi="Calibri"/>
                <w:sz w:val="17"/>
              </w:rPr>
              <w:t xml:space="preserve">U — The source depends on nothing</w:t>
            </w:r>
          </w:p>
        </w:tc>
        <w:tc>
          <w:tcPr>
            <w:tcW w:type="dxa" w:w="3312"/>
          </w:tcPr>
          <w:p>
            <w:pPr>
              <w:pStyle w:val="BodyText"/>
              <w:keepNext w:val="0"/>
              <w:spacing w:after="80" w:line="252" w:lineRule="auto"/>
              <w:jc w:val="left"/>
            </w:pPr>
            <w:r>
              <w:rPr>
                <w:rFonts w:ascii="Calibri" w:hAnsi="Calibri"/>
                <w:sz w:val="17"/>
              </w:rPr>
              <w:t xml:space="preserve">A source whose actuality is grounded in an actual creature, despite its unlimited mode.</w:t>
            </w:r>
          </w:p>
        </w:tc>
        <w:tc>
          <w:tcPr>
            <w:tcW w:type="dxa" w:w="3312"/>
          </w:tcPr>
          <w:p>
            <w:pPr>
              <w:pStyle w:val="BodyText"/>
              <w:keepNext w:val="0"/>
              <w:spacing w:after="80" w:line="252" w:lineRule="auto"/>
              <w:jc w:val="left"/>
            </w:pPr>
            <w:r>
              <w:rPr>
                <w:rFonts w:ascii="Calibri" w:hAnsi="Calibri"/>
                <w:sz w:val="17"/>
              </w:rPr>
              <w:t xml:space="preserve">An unlimited source may itself depend upon another. A cycle of grounding or divine completion is admitted.</w:t>
            </w:r>
          </w:p>
        </w:tc>
      </w:tr>
      <w:tr>
        <w:tc>
          <w:tcPr>
            <w:tcW w:type="dxa" w:w="3312"/>
          </w:tcPr>
          <w:p>
            <w:pPr>
              <w:pStyle w:val="BodyText"/>
              <w:keepNext w:val="0"/>
              <w:spacing w:after="80" w:line="252" w:lineRule="auto"/>
              <w:jc w:val="left"/>
            </w:pPr>
            <w:r>
              <w:rPr>
                <w:rFonts w:ascii="Calibri" w:hAnsi="Calibri"/>
                <w:sz w:val="17"/>
              </w:rPr>
              <w:t xml:space="preserve">Q — Causal adequacy of the ultimate source</w:t>
            </w:r>
          </w:p>
        </w:tc>
        <w:tc>
          <w:tcPr>
            <w:tcW w:type="dxa" w:w="3312"/>
          </w:tcPr>
          <w:p>
            <w:pPr>
              <w:pStyle w:val="BodyText"/>
              <w:keepNext w:val="0"/>
              <w:spacing w:after="80" w:line="252" w:lineRule="auto"/>
              <w:jc w:val="left"/>
            </w:pPr>
            <w:r>
              <w:rPr>
                <w:rFonts w:ascii="Calibri" w:hAnsi="Calibri"/>
                <w:sz w:val="17"/>
              </w:rPr>
              <w:t xml:space="preserve">An opaque source causes a living effect while no corresponding life can be attributed to the source.</w:t>
            </w:r>
          </w:p>
        </w:tc>
        <w:tc>
          <w:tcPr>
            <w:tcW w:type="dxa" w:w="3312"/>
          </w:tcPr>
          <w:p>
            <w:pPr>
              <w:pStyle w:val="BodyText"/>
              <w:keepNext w:val="0"/>
              <w:spacing w:after="80" w:line="252" w:lineRule="auto"/>
              <w:jc w:val="left"/>
            </w:pPr>
            <w:r>
              <w:rPr>
                <w:rFonts w:ascii="Calibri" w:hAnsi="Calibri"/>
                <w:sz w:val="17"/>
              </w:rPr>
              <w:t xml:space="preserve">Causation no longer establishes corresponding source-perfection for an additional content q; likeness and manifestation in that respect become underivable. Shared existential actuality can remain.</w:t>
            </w:r>
          </w:p>
        </w:tc>
      </w:tr>
      <w:tr>
        <w:tc>
          <w:tcPr>
            <w:tcW w:type="dxa" w:w="3312"/>
          </w:tcPr>
          <w:p>
            <w:pPr>
              <w:pStyle w:val="BodyText"/>
              <w:keepNext w:val="0"/>
              <w:spacing w:after="80" w:line="252" w:lineRule="auto"/>
              <w:jc w:val="left"/>
            </w:pPr>
            <w:r>
              <w:rPr>
                <w:rFonts w:ascii="Calibri" w:hAnsi="Calibri"/>
                <w:sz w:val="17"/>
              </w:rPr>
              <w:t xml:space="preserve">KD — Composition entails dependence</w:t>
            </w:r>
          </w:p>
        </w:tc>
        <w:tc>
          <w:tcPr>
            <w:tcW w:type="dxa" w:w="3312"/>
          </w:tcPr>
          <w:p>
            <w:pPr>
              <w:pStyle w:val="BodyText"/>
              <w:keepNext w:val="0"/>
              <w:spacing w:after="80" w:line="252" w:lineRule="auto"/>
              <w:jc w:val="left"/>
            </w:pPr>
            <w:r>
              <w:rPr>
                <w:rFonts w:ascii="Calibri" w:hAnsi="Calibri"/>
                <w:sz w:val="17"/>
              </w:rPr>
              <w:t xml:space="preserve">An uncaused but composite deity. Simplicity does not follow from “uncaused” alone.</w:t>
            </w:r>
          </w:p>
        </w:tc>
        <w:tc>
          <w:tcPr>
            <w:tcW w:type="dxa" w:w="3312"/>
          </w:tcPr>
          <w:p>
            <w:pPr>
              <w:pStyle w:val="BodyText"/>
              <w:keepNext w:val="0"/>
              <w:spacing w:after="80" w:line="252" w:lineRule="auto"/>
              <w:jc w:val="left"/>
            </w:pPr>
            <w:r>
              <w:rPr>
                <w:rFonts w:ascii="Calibri" w:hAnsi="Calibri"/>
                <w:sz w:val="17"/>
              </w:rPr>
              <w:t xml:space="preserve">A composite source can simply be stipulated independent of its own intrinsic parts.</w:t>
            </w:r>
          </w:p>
        </w:tc>
      </w:tr>
      <w:tr>
        <w:tc>
          <w:tcPr>
            <w:tcW w:type="dxa" w:w="3312"/>
          </w:tcPr>
          <w:p>
            <w:pPr>
              <w:pStyle w:val="BodyText"/>
              <w:keepNext w:val="0"/>
              <w:spacing w:after="80" w:line="252" w:lineRule="auto"/>
              <w:jc w:val="left"/>
            </w:pPr>
            <w:r>
              <w:rPr>
                <w:rFonts w:ascii="Calibri" w:hAnsi="Calibri"/>
                <w:sz w:val="17"/>
              </w:rPr>
              <w:t xml:space="preserve">KH — Constituents do not exceed the whole</w:t>
            </w:r>
          </w:p>
        </w:tc>
        <w:tc>
          <w:tcPr>
            <w:tcW w:type="dxa" w:w="3312"/>
          </w:tcPr>
          <w:p>
            <w:pPr>
              <w:pStyle w:val="BodyText"/>
              <w:keepNext w:val="0"/>
              <w:spacing w:after="80" w:line="252" w:lineRule="auto"/>
              <w:jc w:val="left"/>
            </w:pPr>
            <w:r>
              <w:rPr>
                <w:rFonts w:ascii="Calibri" w:hAnsi="Calibri"/>
                <w:sz w:val="17"/>
              </w:rPr>
              <w:t xml:space="preserve">A panentheistic constituent-model: the source belongs to the creature without transferring its unlimited capacity.</w:t>
            </w:r>
          </w:p>
        </w:tc>
        <w:tc>
          <w:tcPr>
            <w:tcW w:type="dxa" w:w="3312"/>
          </w:tcPr>
          <w:p>
            <w:pPr>
              <w:pStyle w:val="BodyText"/>
              <w:keepNext w:val="0"/>
              <w:spacing w:after="80" w:line="252" w:lineRule="auto"/>
              <w:jc w:val="left"/>
            </w:pPr>
            <w:r>
              <w:rPr>
                <w:rFonts w:ascii="Calibri" w:hAnsi="Calibri"/>
                <w:sz w:val="17"/>
              </w:rPr>
              <w:t xml:space="preserve">An unlimited source may be stipulated an intrinsic constituent of a finite creature.</w:t>
            </w:r>
          </w:p>
        </w:tc>
      </w:tr>
      <w:tr>
        <w:tc>
          <w:tcPr>
            <w:tcW w:type="dxa" w:w="3312"/>
          </w:tcPr>
          <w:p>
            <w:pPr>
              <w:pStyle w:val="BodyText"/>
              <w:keepNext w:val="0"/>
              <w:spacing w:after="80" w:line="252" w:lineRule="auto"/>
              <w:jc w:val="left"/>
            </w:pPr>
            <w:r>
              <w:rPr>
                <w:rFonts w:ascii="Calibri" w:hAnsi="Calibri"/>
                <w:sz w:val="17"/>
              </w:rPr>
              <w:t xml:space="preserve">FS — Unbounded source actuality</w:t>
            </w:r>
          </w:p>
        </w:tc>
        <w:tc>
          <w:tcPr>
            <w:tcW w:type="dxa" w:w="3312"/>
          </w:tcPr>
          <w:p>
            <w:pPr>
              <w:pStyle w:val="BodyText"/>
              <w:keepNext w:val="0"/>
              <w:spacing w:after="80" w:line="252" w:lineRule="auto"/>
              <w:jc w:val="left"/>
            </w:pPr>
            <w:r>
              <w:rPr>
                <w:rFonts w:ascii="Calibri" w:hAnsi="Calibri"/>
                <w:sz w:val="17"/>
              </w:rPr>
              <w:t xml:space="preserve">A finite ultimate artisan: underivation and noncomposition remain, but inexhaustibility does not.</w:t>
            </w:r>
          </w:p>
        </w:tc>
        <w:tc>
          <w:tcPr>
            <w:tcW w:type="dxa" w:w="3312"/>
          </w:tcPr>
          <w:p>
            <w:pPr>
              <w:pStyle w:val="BodyText"/>
              <w:keepNext w:val="0"/>
              <w:spacing w:after="80" w:line="252" w:lineRule="auto"/>
              <w:jc w:val="left"/>
            </w:pPr>
            <w:r>
              <w:rPr>
                <w:rFonts w:ascii="Calibri" w:hAnsi="Calibri"/>
                <w:sz w:val="17"/>
              </w:rPr>
              <w:t xml:space="preserve">An underived, simple, finite source is possible; some finite expression can match its measure.</w:t>
            </w:r>
          </w:p>
        </w:tc>
      </w:tr>
      <w:tr>
        <w:tc>
          <w:tcPr>
            <w:tcW w:type="dxa" w:w="3312"/>
          </w:tcPr>
          <w:p>
            <w:pPr>
              <w:pStyle w:val="BodyText"/>
              <w:keepNext w:val="0"/>
              <w:spacing w:after="80" w:line="252" w:lineRule="auto"/>
              <w:jc w:val="left"/>
            </w:pPr>
            <w:r>
              <w:rPr>
                <w:rFonts w:ascii="Calibri" w:hAnsi="Calibri"/>
                <w:sz w:val="17"/>
              </w:rPr>
              <w:t xml:space="preserve">FC — Bounded created actuality</w:t>
            </w:r>
          </w:p>
        </w:tc>
        <w:tc>
          <w:tcPr>
            <w:tcW w:type="dxa" w:w="3312"/>
          </w:tcPr>
          <w:p>
            <w:pPr>
              <w:pStyle w:val="BodyText"/>
              <w:keepNext w:val="0"/>
              <w:spacing w:after="80" w:line="252" w:lineRule="auto"/>
              <w:jc w:val="left"/>
            </w:pPr>
            <w:r>
              <w:rPr>
                <w:rFonts w:ascii="Calibri" w:hAnsi="Calibri"/>
                <w:sz w:val="17"/>
              </w:rPr>
              <w:t xml:space="preserve">An unlimited derived effect that matches the source’s measure without becoming numerically identical.</w:t>
            </w:r>
          </w:p>
        </w:tc>
        <w:tc>
          <w:tcPr>
            <w:tcW w:type="dxa" w:w="3312"/>
          </w:tcPr>
          <w:p>
            <w:pPr>
              <w:pStyle w:val="BodyText"/>
              <w:keepNext w:val="0"/>
              <w:spacing w:after="80" w:line="252" w:lineRule="auto"/>
              <w:jc w:val="left"/>
            </w:pPr>
            <w:r>
              <w:rPr>
                <w:rFonts w:ascii="Calibri" w:hAnsi="Calibri"/>
                <w:sz w:val="17"/>
              </w:rPr>
              <w:t xml:space="preserve">An other can possess the source’s unlimited measure. Nonidentity survives, but finite non-exhaustion is lost.</w:t>
            </w:r>
          </w:p>
        </w:tc>
      </w:tr>
      <w:tr>
        <w:tc>
          <w:tcPr>
            <w:tcW w:type="dxa" w:w="3312"/>
          </w:tcPr>
          <w:p>
            <w:pPr>
              <w:pStyle w:val="BodyText"/>
              <w:keepNext w:val="0"/>
              <w:spacing w:after="80" w:line="252" w:lineRule="auto"/>
              <w:jc w:val="left"/>
            </w:pPr>
            <w:r>
              <w:rPr>
                <w:rFonts w:ascii="Calibri" w:hAnsi="Calibri"/>
                <w:sz w:val="17"/>
              </w:rPr>
              <w:t xml:space="preserve">X — Unchanged source across creation alternatives</w:t>
            </w:r>
          </w:p>
        </w:tc>
        <w:tc>
          <w:tcPr>
            <w:tcW w:type="dxa" w:w="3312"/>
          </w:tcPr>
          <w:p>
            <w:pPr>
              <w:pStyle w:val="BodyText"/>
              <w:keepNext w:val="0"/>
              <w:spacing w:after="80" w:line="252" w:lineRule="auto"/>
              <w:jc w:val="left"/>
            </w:pPr>
            <w:r>
              <w:rPr>
                <w:rFonts w:ascii="Calibri" w:hAnsi="Calibri"/>
                <w:sz w:val="17"/>
              </w:rPr>
              <w:t xml:space="preserve">An intrinsically responsive deity. Independence within each possible world does not establish the same intrinsic actuality across different possible worlds.</w:t>
            </w:r>
          </w:p>
        </w:tc>
        <w:tc>
          <w:tcPr>
            <w:tcW w:type="dxa" w:w="3312"/>
          </w:tcPr>
          <w:p>
            <w:pPr>
              <w:pStyle w:val="BodyText"/>
              <w:keepNext w:val="0"/>
              <w:spacing w:after="80" w:line="252" w:lineRule="auto"/>
              <w:jc w:val="left"/>
            </w:pPr>
            <w:r>
              <w:rPr>
                <w:rFonts w:ascii="Calibri" w:hAnsi="Calibri"/>
                <w:sz w:val="17"/>
              </w:rPr>
              <w:t xml:space="preserve">Different created histories may be correlated with different intrinsic states of the source, without those effects grounding the source’s actuality within either possible world.</w:t>
            </w:r>
          </w:p>
        </w:tc>
      </w:tr>
    </w:tbl>
    <w:bookmarkEnd w:id="304"/>
    <w:bookmarkStart w:id="305" w:name="representative-explorer-selections"/>
    <w:p>
      <w:pPr>
        <w:pStyle w:val="Heading3"/>
      </w:pPr>
      <w:r>
        <w:t xml:space="preserve">Representative explorer selections</w:t>
      </w:r>
    </w:p>
    <w:tbl>
      <w:tblPr>
        <w:tblStyle w:val="TableGrid"/>
        <w:tblW w:type="dxa" w:w="9936"/>
        <w:jc w:val="left"/>
        <w:tblLayout w:type="fixed"/>
        <w:tblLook w:firstRow="1" w:lastRow="0" w:firstColumn="0" w:lastColumn="0" w:noHBand="0" w:noVBand="0" w:val="0020"/>
      </w:tblPr>
      <w:tblGrid>
        <w:gridCol w:w="1689"/>
        <w:gridCol w:w="2062"/>
        <w:gridCol w:w="2062"/>
        <w:gridCol w:w="2062"/>
        <w:gridCol w:w="2062"/>
      </w:tblGrid>
      <w:tr>
        <w:trPr>
          <w:tblHeader w:val="true"/>
        </w:trPr>
        <w:tc>
          <w:tcPr>
            <w:tcW w:type="dxa" w:w="1689"/>
            <w:shd w:fill="EAE5DA"/>
          </w:tcPr>
          <w:p>
            <w:pPr>
              <w:pStyle w:val="BodyText"/>
              <w:keepNext w:val="0"/>
              <w:spacing w:after="80" w:line="252" w:lineRule="auto"/>
              <w:jc w:val="left"/>
            </w:pPr>
            <w:r>
              <w:rPr>
                <w:rFonts w:ascii="Calibri" w:hAnsi="Calibri"/>
                <w:b/>
                <w:sz w:val="17"/>
              </w:rPr>
              <w:t xml:space="preserve">Selection</w:t>
            </w:r>
          </w:p>
        </w:tc>
        <w:tc>
          <w:tcPr>
            <w:tcW w:type="dxa" w:w="2062"/>
            <w:shd w:fill="EAE5DA"/>
          </w:tcPr>
          <w:p>
            <w:pPr>
              <w:pStyle w:val="BodyText"/>
              <w:keepNext w:val="0"/>
              <w:spacing w:after="80" w:line="252" w:lineRule="auto"/>
              <w:jc w:val="left"/>
            </w:pPr>
            <w:r>
              <w:rPr>
                <w:rFonts w:ascii="Calibri" w:hAnsi="Calibri"/>
                <w:b/>
                <w:sz w:val="17"/>
              </w:rPr>
              <w:t xml:space="preserve">Selected clauses/extensions</w:t>
            </w:r>
          </w:p>
        </w:tc>
        <w:tc>
          <w:tcPr>
            <w:tcW w:type="dxa" w:w="2062"/>
            <w:shd w:fill="EAE5DA"/>
          </w:tcPr>
          <w:p>
            <w:pPr>
              <w:pStyle w:val="BodyText"/>
              <w:keepNext w:val="0"/>
              <w:spacing w:after="80" w:line="252" w:lineRule="auto"/>
              <w:jc w:val="left"/>
            </w:pPr>
            <w:r>
              <w:rPr>
                <w:rFonts w:ascii="Calibri" w:hAnsi="Calibri"/>
                <w:b/>
                <w:sz w:val="17"/>
              </w:rPr>
              <w:t xml:space="preserve">Listed paths available</w:t>
            </w:r>
          </w:p>
        </w:tc>
        <w:tc>
          <w:tcPr>
            <w:tcW w:type="dxa" w:w="2062"/>
            <w:shd w:fill="EAE5DA"/>
          </w:tcPr>
          <w:p>
            <w:pPr>
              <w:pStyle w:val="BodyText"/>
              <w:keepNext w:val="0"/>
              <w:spacing w:after="80" w:line="252" w:lineRule="auto"/>
              <w:jc w:val="left"/>
            </w:pPr>
            <w:r>
              <w:rPr>
                <w:rFonts w:ascii="Calibri" w:hAnsi="Calibri"/>
                <w:b/>
                <w:sz w:val="17"/>
              </w:rPr>
              <w:t xml:space="preserve">Available theorem labels</w:t>
            </w:r>
          </w:p>
        </w:tc>
        <w:tc>
          <w:tcPr>
            <w:tcW w:type="dxa" w:w="2062"/>
            <w:shd w:fill="EAE5DA"/>
          </w:tcPr>
          <w:p>
            <w:pPr>
              <w:pStyle w:val="BodyText"/>
              <w:keepNext w:val="0"/>
              <w:spacing w:after="80" w:line="252" w:lineRule="auto"/>
              <w:jc w:val="left"/>
            </w:pPr>
            <w:r>
              <w:rPr>
                <w:rFonts w:ascii="Calibri" w:hAnsi="Calibri"/>
                <w:b/>
                <w:sz w:val="17"/>
              </w:rPr>
              <w:t xml:space="preserve">Missing dependencies</w:t>
            </w:r>
          </w:p>
        </w:tc>
      </w:tr>
      <w:tr>
        <w:tc>
          <w:tcPr>
            <w:tcW w:type="dxa" w:w="1689"/>
          </w:tcPr>
          <w:p>
            <w:pPr>
              <w:pStyle w:val="BodyText"/>
              <w:keepNext w:val="0"/>
              <w:spacing w:after="80" w:line="252" w:lineRule="auto"/>
              <w:jc w:val="left"/>
            </w:pPr>
            <w:r>
              <w:rPr>
                <w:rFonts w:ascii="Calibri" w:hAnsi="Calibri"/>
                <w:sz w:val="17"/>
              </w:rPr>
              <w:t xml:space="preserve">Original nine-clause selection</w:t>
            </w:r>
          </w:p>
        </w:tc>
        <w:tc>
          <w:tcPr>
            <w:tcW w:type="dxa" w:w="2062"/>
          </w:tcPr>
          <w:p>
            <w:pPr>
              <w:pStyle w:val="BodyText"/>
              <w:keepNext w:val="0"/>
              <w:spacing w:after="80" w:line="252" w:lineRule="auto"/>
              <w:jc w:val="left"/>
            </w:pPr>
            <w:r>
              <w:rPr>
                <w:rFonts w:ascii="Calibri" w:hAnsi="Calibri"/>
                <w:sz w:val="17"/>
              </w:rPr>
              <w:t xml:space="preserve">G, CP, U, Q, KD, KH, FS, FC, X</w:t>
            </w:r>
          </w:p>
        </w:tc>
        <w:tc>
          <w:tcPr>
            <w:tcW w:type="dxa" w:w="2062"/>
          </w:tcPr>
          <w:p>
            <w:pPr>
              <w:pStyle w:val="BodyText"/>
              <w:keepNext w:val="0"/>
              <w:spacing w:after="80" w:line="252" w:lineRule="auto"/>
              <w:jc w:val="left"/>
            </w:pPr>
            <w:r>
              <w:rPr>
                <w:rFonts w:ascii="Calibri" w:hAnsi="Calibri"/>
                <w:sz w:val="17"/>
              </w:rPr>
              <w:t xml:space="preserve">13 / 15</w:t>
            </w:r>
          </w:p>
        </w:tc>
        <w:tc>
          <w:tcPr>
            <w:tcW w:type="dxa" w:w="2062"/>
          </w:tcPr>
          <w:p>
            <w:pPr>
              <w:pStyle w:val="BodyText"/>
              <w:keepNext w:val="0"/>
              <w:spacing w:after="80" w:line="252" w:lineRule="auto"/>
              <w:jc w:val="left"/>
            </w:pPr>
            <w:r>
              <w:rPr>
                <w:rFonts w:ascii="Calibri" w:hAnsi="Calibri"/>
                <w:sz w:val="17"/>
              </w:rPr>
              <w:t xml:space="preserve">T1, T2, T4, T5, T6, T7, T8, T9, T10, T11, T12, T13, T14</w:t>
            </w:r>
          </w:p>
        </w:tc>
        <w:tc>
          <w:tcPr>
            <w:tcW w:type="dxa" w:w="2062"/>
          </w:tcPr>
          <w:p>
            <w:pPr>
              <w:pStyle w:val="BodyText"/>
              <w:keepNext w:val="0"/>
              <w:spacing w:after="80" w:line="252" w:lineRule="auto"/>
              <w:jc w:val="left"/>
            </w:pPr>
            <w:r>
              <w:rPr>
                <w:rFonts w:ascii="Calibri" w:hAnsi="Calibri"/>
                <w:sz w:val="17"/>
              </w:rPr>
              <w:t xml:space="preserve">T3: missing N; T15: missing V</w:t>
            </w:r>
          </w:p>
        </w:tc>
      </w:tr>
      <w:tr>
        <w:tc>
          <w:tcPr>
            <w:tcW w:type="dxa" w:w="1689"/>
          </w:tcPr>
          <w:p>
            <w:pPr>
              <w:pStyle w:val="BodyText"/>
              <w:keepNext w:val="0"/>
              <w:spacing w:after="80" w:line="252" w:lineRule="auto"/>
              <w:jc w:val="left"/>
            </w:pPr>
            <w:r>
              <w:rPr>
                <w:rFonts w:ascii="Calibri" w:hAnsi="Calibri"/>
                <w:sz w:val="17"/>
              </w:rPr>
              <w:t xml:space="preserve">Nine clauses and all three optional extensions</w:t>
            </w:r>
          </w:p>
        </w:tc>
        <w:tc>
          <w:tcPr>
            <w:tcW w:type="dxa" w:w="2062"/>
          </w:tcPr>
          <w:p>
            <w:pPr>
              <w:pStyle w:val="BodyText"/>
              <w:keepNext w:val="0"/>
              <w:spacing w:after="80" w:line="252" w:lineRule="auto"/>
              <w:jc w:val="left"/>
            </w:pPr>
            <w:r>
              <w:rPr>
                <w:rFonts w:ascii="Calibri" w:hAnsi="Calibri"/>
                <w:sz w:val="17"/>
              </w:rPr>
              <w:t xml:space="preserve">G, CP, U, Q, KD, KH, FS, FC, X, N, V, W</w:t>
            </w:r>
          </w:p>
        </w:tc>
        <w:tc>
          <w:tcPr>
            <w:tcW w:type="dxa" w:w="2062"/>
          </w:tcPr>
          <w:p>
            <w:pPr>
              <w:pStyle w:val="BodyText"/>
              <w:keepNext w:val="0"/>
              <w:spacing w:after="80" w:line="252" w:lineRule="auto"/>
              <w:jc w:val="left"/>
            </w:pPr>
            <w:r>
              <w:rPr>
                <w:rFonts w:ascii="Calibri" w:hAnsi="Calibri"/>
                <w:sz w:val="17"/>
              </w:rPr>
              <w:t xml:space="preserve">15 / 15</w:t>
            </w:r>
          </w:p>
        </w:tc>
        <w:tc>
          <w:tcPr>
            <w:tcW w:type="dxa" w:w="2062"/>
          </w:tcPr>
          <w:p>
            <w:pPr>
              <w:pStyle w:val="BodyText"/>
              <w:keepNext w:val="0"/>
              <w:spacing w:after="80" w:line="252" w:lineRule="auto"/>
              <w:jc w:val="left"/>
            </w:pPr>
            <w:r>
              <w:rPr>
                <w:rFonts w:ascii="Calibri" w:hAnsi="Calibri"/>
                <w:sz w:val="17"/>
              </w:rPr>
              <w:t xml:space="preserve">T1, T2, T3, T4, T5, T6, T7, T8, T9, T10, T11, T12, T13, T14, T15</w:t>
            </w:r>
          </w:p>
        </w:tc>
        <w:tc>
          <w:tcPr>
            <w:tcW w:type="dxa" w:w="2062"/>
          </w:tcPr>
          <w:p>
            <w:pPr>
              <w:pStyle w:val="BodyText"/>
              <w:keepNext w:val="0"/>
              <w:spacing w:after="80" w:line="252" w:lineRule="auto"/>
              <w:jc w:val="left"/>
            </w:pPr>
            <w:r>
              <w:rPr>
                <w:rFonts w:ascii="Calibri" w:hAnsi="Calibri"/>
                <w:sz w:val="17"/>
              </w:rPr>
              <w:t xml:space="preserve">No missing listed dependencies</w:t>
            </w:r>
          </w:p>
        </w:tc>
      </w:tr>
      <w:tr>
        <w:tc>
          <w:tcPr>
            <w:tcW w:type="dxa" w:w="1689"/>
          </w:tcPr>
          <w:p>
            <w:pPr>
              <w:pStyle w:val="BodyText"/>
              <w:keepNext w:val="0"/>
              <w:spacing w:after="80" w:line="252" w:lineRule="auto"/>
              <w:jc w:val="left"/>
            </w:pPr>
            <w:r>
              <w:rPr>
                <w:rFonts w:ascii="Calibri" w:hAnsi="Calibri"/>
                <w:sz w:val="17"/>
              </w:rPr>
              <w:t xml:space="preserve">Original selection without G</w:t>
            </w:r>
          </w:p>
        </w:tc>
        <w:tc>
          <w:tcPr>
            <w:tcW w:type="dxa" w:w="2062"/>
          </w:tcPr>
          <w:p>
            <w:pPr>
              <w:pStyle w:val="BodyText"/>
              <w:keepNext w:val="0"/>
              <w:spacing w:after="80" w:line="252" w:lineRule="auto"/>
              <w:jc w:val="left"/>
            </w:pPr>
            <w:r>
              <w:rPr>
                <w:rFonts w:ascii="Calibri" w:hAnsi="Calibri"/>
                <w:sz w:val="17"/>
              </w:rPr>
              <w:t xml:space="preserve">CP, U, Q, KD, KH, FS, FC, X</w:t>
            </w:r>
          </w:p>
        </w:tc>
        <w:tc>
          <w:tcPr>
            <w:tcW w:type="dxa" w:w="2062"/>
          </w:tcPr>
          <w:p>
            <w:pPr>
              <w:pStyle w:val="BodyText"/>
              <w:keepNext w:val="0"/>
              <w:spacing w:after="80" w:line="252" w:lineRule="auto"/>
              <w:jc w:val="left"/>
            </w:pPr>
            <w:r>
              <w:rPr>
                <w:rFonts w:ascii="Calibri" w:hAnsi="Calibri"/>
                <w:sz w:val="17"/>
              </w:rPr>
              <w:t xml:space="preserve">3 / 15</w:t>
            </w:r>
          </w:p>
        </w:tc>
        <w:tc>
          <w:tcPr>
            <w:tcW w:type="dxa" w:w="2062"/>
          </w:tcPr>
          <w:p>
            <w:pPr>
              <w:pStyle w:val="BodyText"/>
              <w:keepNext w:val="0"/>
              <w:spacing w:after="80" w:line="252" w:lineRule="auto"/>
              <w:jc w:val="left"/>
            </w:pPr>
            <w:r>
              <w:rPr>
                <w:rFonts w:ascii="Calibri" w:hAnsi="Calibri"/>
                <w:sz w:val="17"/>
              </w:rPr>
              <w:t xml:space="preserve">T2, T12, T14</w:t>
            </w:r>
          </w:p>
        </w:tc>
        <w:tc>
          <w:tcPr>
            <w:tcW w:type="dxa" w:w="2062"/>
          </w:tcPr>
          <w:p>
            <w:pPr>
              <w:pStyle w:val="BodyText"/>
              <w:keepNext w:val="0"/>
              <w:spacing w:after="80" w:line="252" w:lineRule="auto"/>
              <w:jc w:val="left"/>
            </w:pPr>
            <w:r>
              <w:rPr>
                <w:rFonts w:ascii="Calibri" w:hAnsi="Calibri"/>
                <w:sz w:val="17"/>
              </w:rPr>
              <w:t xml:space="preserve">T1: missing G; T3: missing G, N; T4: missing G; T5: missing G; T6: missing G; T7: missing G; T8: missing G; T9: missing G; T10: missing G; T11: missing G; T13: missing G; T15: missing V</w:t>
            </w:r>
          </w:p>
        </w:tc>
      </w:tr>
      <w:tr>
        <w:tc>
          <w:tcPr>
            <w:tcW w:type="dxa" w:w="1689"/>
          </w:tcPr>
          <w:p>
            <w:pPr>
              <w:pStyle w:val="BodyText"/>
              <w:keepNext w:val="0"/>
              <w:spacing w:after="80" w:line="252" w:lineRule="auto"/>
              <w:jc w:val="left"/>
            </w:pPr>
            <w:r>
              <w:rPr>
                <w:rFonts w:ascii="Calibri" w:hAnsi="Calibri"/>
                <w:sz w:val="17"/>
              </w:rPr>
              <w:t xml:space="preserve">Original selection without CP</w:t>
            </w:r>
          </w:p>
        </w:tc>
        <w:tc>
          <w:tcPr>
            <w:tcW w:type="dxa" w:w="2062"/>
          </w:tcPr>
          <w:p>
            <w:pPr>
              <w:pStyle w:val="BodyText"/>
              <w:keepNext w:val="0"/>
              <w:spacing w:after="80" w:line="252" w:lineRule="auto"/>
              <w:jc w:val="left"/>
            </w:pPr>
            <w:r>
              <w:rPr>
                <w:rFonts w:ascii="Calibri" w:hAnsi="Calibri"/>
                <w:sz w:val="17"/>
              </w:rPr>
              <w:t xml:space="preserve">G, U, Q, KD, KH, FS, FC, X</w:t>
            </w:r>
          </w:p>
        </w:tc>
        <w:tc>
          <w:tcPr>
            <w:tcW w:type="dxa" w:w="2062"/>
          </w:tcPr>
          <w:p>
            <w:pPr>
              <w:pStyle w:val="BodyText"/>
              <w:keepNext w:val="0"/>
              <w:spacing w:after="80" w:line="252" w:lineRule="auto"/>
              <w:jc w:val="left"/>
            </w:pPr>
            <w:r>
              <w:rPr>
                <w:rFonts w:ascii="Calibri" w:hAnsi="Calibri"/>
                <w:sz w:val="17"/>
              </w:rPr>
              <w:t xml:space="preserve">4 / 15</w:t>
            </w:r>
          </w:p>
        </w:tc>
        <w:tc>
          <w:tcPr>
            <w:tcW w:type="dxa" w:w="2062"/>
          </w:tcPr>
          <w:p>
            <w:pPr>
              <w:pStyle w:val="BodyText"/>
              <w:keepNext w:val="0"/>
              <w:spacing w:after="80" w:line="252" w:lineRule="auto"/>
              <w:jc w:val="left"/>
            </w:pPr>
            <w:r>
              <w:rPr>
                <w:rFonts w:ascii="Calibri" w:hAnsi="Calibri"/>
                <w:sz w:val="17"/>
              </w:rPr>
              <w:t xml:space="preserve">T7, T9, T12, T14</w:t>
            </w:r>
          </w:p>
        </w:tc>
        <w:tc>
          <w:tcPr>
            <w:tcW w:type="dxa" w:w="2062"/>
          </w:tcPr>
          <w:p>
            <w:pPr>
              <w:pStyle w:val="BodyText"/>
              <w:keepNext w:val="0"/>
              <w:spacing w:after="80" w:line="252" w:lineRule="auto"/>
              <w:jc w:val="left"/>
            </w:pPr>
            <w:r>
              <w:rPr>
                <w:rFonts w:ascii="Calibri" w:hAnsi="Calibri"/>
                <w:sz w:val="17"/>
              </w:rPr>
              <w:t xml:space="preserve">T1: missing CP; T2: missing CP; T3: missing N; T4: missing CP; T5: missing CP; T6: missing CP; T8: missing CP; T10: missing CP; T11: missing CP; T13: missing CP; T15: missing V</w:t>
            </w:r>
          </w:p>
        </w:tc>
      </w:tr>
      <w:tr>
        <w:tc>
          <w:tcPr>
            <w:tcW w:type="dxa" w:w="1689"/>
          </w:tcPr>
          <w:p>
            <w:pPr>
              <w:pStyle w:val="BodyText"/>
              <w:keepNext w:val="0"/>
              <w:spacing w:after="80" w:line="252" w:lineRule="auto"/>
              <w:jc w:val="left"/>
            </w:pPr>
            <w:r>
              <w:rPr>
                <w:rFonts w:ascii="Calibri" w:hAnsi="Calibri"/>
                <w:sz w:val="17"/>
              </w:rPr>
              <w:t xml:space="preserve">Original selection without U</w:t>
            </w:r>
          </w:p>
        </w:tc>
        <w:tc>
          <w:tcPr>
            <w:tcW w:type="dxa" w:w="2062"/>
          </w:tcPr>
          <w:p>
            <w:pPr>
              <w:pStyle w:val="BodyText"/>
              <w:keepNext w:val="0"/>
              <w:spacing w:after="80" w:line="252" w:lineRule="auto"/>
              <w:jc w:val="left"/>
            </w:pPr>
            <w:r>
              <w:rPr>
                <w:rFonts w:ascii="Calibri" w:hAnsi="Calibri"/>
                <w:sz w:val="17"/>
              </w:rPr>
              <w:t xml:space="preserve">G, CP, Q, KD, KH, FS, FC, X</w:t>
            </w:r>
          </w:p>
        </w:tc>
        <w:tc>
          <w:tcPr>
            <w:tcW w:type="dxa" w:w="2062"/>
          </w:tcPr>
          <w:p>
            <w:pPr>
              <w:pStyle w:val="BodyText"/>
              <w:keepNext w:val="0"/>
              <w:spacing w:after="80" w:line="252" w:lineRule="auto"/>
              <w:jc w:val="left"/>
            </w:pPr>
            <w:r>
              <w:rPr>
                <w:rFonts w:ascii="Calibri" w:hAnsi="Calibri"/>
                <w:sz w:val="17"/>
              </w:rPr>
              <w:t xml:space="preserve">4 / 15</w:t>
            </w:r>
          </w:p>
        </w:tc>
        <w:tc>
          <w:tcPr>
            <w:tcW w:type="dxa" w:w="2062"/>
          </w:tcPr>
          <w:p>
            <w:pPr>
              <w:pStyle w:val="BodyText"/>
              <w:keepNext w:val="0"/>
              <w:spacing w:after="80" w:line="252" w:lineRule="auto"/>
              <w:jc w:val="left"/>
            </w:pPr>
            <w:r>
              <w:rPr>
                <w:rFonts w:ascii="Calibri" w:hAnsi="Calibri"/>
                <w:sz w:val="17"/>
              </w:rPr>
              <w:t xml:space="preserve">T7, T9, T12, T14</w:t>
            </w:r>
          </w:p>
        </w:tc>
        <w:tc>
          <w:tcPr>
            <w:tcW w:type="dxa" w:w="2062"/>
          </w:tcPr>
          <w:p>
            <w:pPr>
              <w:pStyle w:val="BodyText"/>
              <w:keepNext w:val="0"/>
              <w:spacing w:after="80" w:line="252" w:lineRule="auto"/>
              <w:jc w:val="left"/>
            </w:pPr>
            <w:r>
              <w:rPr>
                <w:rFonts w:ascii="Calibri" w:hAnsi="Calibri"/>
                <w:sz w:val="17"/>
              </w:rPr>
              <w:t xml:space="preserve">T1: missing U; T2: missing U; T3: missing U, N; T4: missing U; T5: missing U; T6: missing U; T8: missing U; T10: missing U; T11: missing U; T13: missing U; T15: missing V</w:t>
            </w:r>
          </w:p>
        </w:tc>
      </w:tr>
      <w:tr>
        <w:tc>
          <w:tcPr>
            <w:tcW w:type="dxa" w:w="1689"/>
          </w:tcPr>
          <w:p>
            <w:pPr>
              <w:pStyle w:val="BodyText"/>
              <w:keepNext w:val="0"/>
              <w:spacing w:after="80" w:line="252" w:lineRule="auto"/>
              <w:jc w:val="left"/>
            </w:pPr>
            <w:r>
              <w:rPr>
                <w:rFonts w:ascii="Calibri" w:hAnsi="Calibri"/>
                <w:sz w:val="17"/>
              </w:rPr>
              <w:t xml:space="preserve">Original selection without Q</w:t>
            </w:r>
          </w:p>
        </w:tc>
        <w:tc>
          <w:tcPr>
            <w:tcW w:type="dxa" w:w="2062"/>
          </w:tcPr>
          <w:p>
            <w:pPr>
              <w:pStyle w:val="BodyText"/>
              <w:keepNext w:val="0"/>
              <w:spacing w:after="80" w:line="252" w:lineRule="auto"/>
              <w:jc w:val="left"/>
            </w:pPr>
            <w:r>
              <w:rPr>
                <w:rFonts w:ascii="Calibri" w:hAnsi="Calibri"/>
                <w:sz w:val="17"/>
              </w:rPr>
              <w:t xml:space="preserve">G, CP, U, KD, KH, FS, FC, X</w:t>
            </w:r>
          </w:p>
        </w:tc>
        <w:tc>
          <w:tcPr>
            <w:tcW w:type="dxa" w:w="2062"/>
          </w:tcPr>
          <w:p>
            <w:pPr>
              <w:pStyle w:val="BodyText"/>
              <w:keepNext w:val="0"/>
              <w:spacing w:after="80" w:line="252" w:lineRule="auto"/>
              <w:jc w:val="left"/>
            </w:pPr>
            <w:r>
              <w:rPr>
                <w:rFonts w:ascii="Calibri" w:hAnsi="Calibri"/>
                <w:sz w:val="17"/>
              </w:rPr>
              <w:t xml:space="preserve">9 / 15</w:t>
            </w:r>
          </w:p>
        </w:tc>
        <w:tc>
          <w:tcPr>
            <w:tcW w:type="dxa" w:w="2062"/>
          </w:tcPr>
          <w:p>
            <w:pPr>
              <w:pStyle w:val="BodyText"/>
              <w:keepNext w:val="0"/>
              <w:spacing w:after="80" w:line="252" w:lineRule="auto"/>
              <w:jc w:val="left"/>
            </w:pPr>
            <w:r>
              <w:rPr>
                <w:rFonts w:ascii="Calibri" w:hAnsi="Calibri"/>
                <w:sz w:val="17"/>
              </w:rPr>
              <w:t xml:space="preserve">T1, T4, T5, T6, T10, T11, T12, T13, T14</w:t>
            </w:r>
          </w:p>
        </w:tc>
        <w:tc>
          <w:tcPr>
            <w:tcW w:type="dxa" w:w="2062"/>
          </w:tcPr>
          <w:p>
            <w:pPr>
              <w:pStyle w:val="BodyText"/>
              <w:keepNext w:val="0"/>
              <w:spacing w:after="80" w:line="252" w:lineRule="auto"/>
              <w:jc w:val="left"/>
            </w:pPr>
            <w:r>
              <w:rPr>
                <w:rFonts w:ascii="Calibri" w:hAnsi="Calibri"/>
                <w:sz w:val="17"/>
              </w:rPr>
              <w:t xml:space="preserve">T2: missing Q; T3: missing Q, N; T7: missing Q; T8: missing Q; T9: missing Q; T15: missing V</w:t>
            </w:r>
          </w:p>
        </w:tc>
      </w:tr>
      <w:tr>
        <w:tc>
          <w:tcPr>
            <w:tcW w:type="dxa" w:w="1689"/>
          </w:tcPr>
          <w:p>
            <w:pPr>
              <w:pStyle w:val="BodyText"/>
              <w:keepNext w:val="0"/>
              <w:spacing w:after="80" w:line="252" w:lineRule="auto"/>
              <w:jc w:val="left"/>
            </w:pPr>
            <w:r>
              <w:rPr>
                <w:rFonts w:ascii="Calibri" w:hAnsi="Calibri"/>
                <w:sz w:val="17"/>
              </w:rPr>
              <w:t xml:space="preserve">Original selection without KD</w:t>
            </w:r>
          </w:p>
        </w:tc>
        <w:tc>
          <w:tcPr>
            <w:tcW w:type="dxa" w:w="2062"/>
          </w:tcPr>
          <w:p>
            <w:pPr>
              <w:pStyle w:val="BodyText"/>
              <w:keepNext w:val="0"/>
              <w:spacing w:after="80" w:line="252" w:lineRule="auto"/>
              <w:jc w:val="left"/>
            </w:pPr>
            <w:r>
              <w:rPr>
                <w:rFonts w:ascii="Calibri" w:hAnsi="Calibri"/>
                <w:sz w:val="17"/>
              </w:rPr>
              <w:t xml:space="preserve">G, CP, U, Q, KH, FS, FC, X</w:t>
            </w:r>
          </w:p>
        </w:tc>
        <w:tc>
          <w:tcPr>
            <w:tcW w:type="dxa" w:w="2062"/>
          </w:tcPr>
          <w:p>
            <w:pPr>
              <w:pStyle w:val="BodyText"/>
              <w:keepNext w:val="0"/>
              <w:spacing w:after="80" w:line="252" w:lineRule="auto"/>
              <w:jc w:val="left"/>
            </w:pPr>
            <w:r>
              <w:rPr>
                <w:rFonts w:ascii="Calibri" w:hAnsi="Calibri"/>
                <w:sz w:val="17"/>
              </w:rPr>
              <w:t xml:space="preserve">10 / 15</w:t>
            </w:r>
          </w:p>
        </w:tc>
        <w:tc>
          <w:tcPr>
            <w:tcW w:type="dxa" w:w="2062"/>
          </w:tcPr>
          <w:p>
            <w:pPr>
              <w:pStyle w:val="BodyText"/>
              <w:keepNext w:val="0"/>
              <w:spacing w:after="80" w:line="252" w:lineRule="auto"/>
              <w:jc w:val="left"/>
            </w:pPr>
            <w:r>
              <w:rPr>
                <w:rFonts w:ascii="Calibri" w:hAnsi="Calibri"/>
                <w:sz w:val="17"/>
              </w:rPr>
              <w:t xml:space="preserve">T2, T4, T6, T7, T8, T9, T10, T11, T12, T14</w:t>
            </w:r>
          </w:p>
        </w:tc>
        <w:tc>
          <w:tcPr>
            <w:tcW w:type="dxa" w:w="2062"/>
          </w:tcPr>
          <w:p>
            <w:pPr>
              <w:pStyle w:val="BodyText"/>
              <w:keepNext w:val="0"/>
              <w:spacing w:after="80" w:line="252" w:lineRule="auto"/>
              <w:jc w:val="left"/>
            </w:pPr>
            <w:r>
              <w:rPr>
                <w:rFonts w:ascii="Calibri" w:hAnsi="Calibri"/>
                <w:sz w:val="17"/>
              </w:rPr>
              <w:t xml:space="preserve">T1: missing KD; T3: missing KD, N; T5: missing KD; T13: missing KD; T15: missing V</w:t>
            </w:r>
          </w:p>
        </w:tc>
      </w:tr>
      <w:tr>
        <w:tc>
          <w:tcPr>
            <w:tcW w:type="dxa" w:w="1689"/>
          </w:tcPr>
          <w:p>
            <w:pPr>
              <w:pStyle w:val="BodyText"/>
              <w:keepNext w:val="0"/>
              <w:spacing w:after="80" w:line="252" w:lineRule="auto"/>
              <w:jc w:val="left"/>
            </w:pPr>
            <w:r>
              <w:rPr>
                <w:rFonts w:ascii="Calibri" w:hAnsi="Calibri"/>
                <w:sz w:val="17"/>
              </w:rPr>
              <w:t xml:space="preserve">Original selection without KH</w:t>
            </w:r>
          </w:p>
        </w:tc>
        <w:tc>
          <w:tcPr>
            <w:tcW w:type="dxa" w:w="2062"/>
          </w:tcPr>
          <w:p>
            <w:pPr>
              <w:pStyle w:val="BodyText"/>
              <w:keepNext w:val="0"/>
              <w:spacing w:after="80" w:line="252" w:lineRule="auto"/>
              <w:jc w:val="left"/>
            </w:pPr>
            <w:r>
              <w:rPr>
                <w:rFonts w:ascii="Calibri" w:hAnsi="Calibri"/>
                <w:sz w:val="17"/>
              </w:rPr>
              <w:t xml:space="preserve">G, CP, U, Q, KD, FS, FC, X</w:t>
            </w:r>
          </w:p>
        </w:tc>
        <w:tc>
          <w:tcPr>
            <w:tcW w:type="dxa" w:w="2062"/>
          </w:tcPr>
          <w:p>
            <w:pPr>
              <w:pStyle w:val="BodyText"/>
              <w:keepNext w:val="0"/>
              <w:spacing w:after="80" w:line="252" w:lineRule="auto"/>
              <w:jc w:val="left"/>
            </w:pPr>
            <w:r>
              <w:rPr>
                <w:rFonts w:ascii="Calibri" w:hAnsi="Calibri"/>
                <w:sz w:val="17"/>
              </w:rPr>
              <w:t xml:space="preserve">10 / 15</w:t>
            </w:r>
          </w:p>
        </w:tc>
        <w:tc>
          <w:tcPr>
            <w:tcW w:type="dxa" w:w="2062"/>
          </w:tcPr>
          <w:p>
            <w:pPr>
              <w:pStyle w:val="BodyText"/>
              <w:keepNext w:val="0"/>
              <w:spacing w:after="80" w:line="252" w:lineRule="auto"/>
              <w:jc w:val="left"/>
            </w:pPr>
            <w:r>
              <w:rPr>
                <w:rFonts w:ascii="Calibri" w:hAnsi="Calibri"/>
                <w:sz w:val="17"/>
              </w:rPr>
              <w:t xml:space="preserve">T2, T4, T6, T7, T8, T9, T11, T12, T13, T14</w:t>
            </w:r>
          </w:p>
        </w:tc>
        <w:tc>
          <w:tcPr>
            <w:tcW w:type="dxa" w:w="2062"/>
          </w:tcPr>
          <w:p>
            <w:pPr>
              <w:pStyle w:val="BodyText"/>
              <w:keepNext w:val="0"/>
              <w:spacing w:after="80" w:line="252" w:lineRule="auto"/>
              <w:jc w:val="left"/>
            </w:pPr>
            <w:r>
              <w:rPr>
                <w:rFonts w:ascii="Calibri" w:hAnsi="Calibri"/>
                <w:sz w:val="17"/>
              </w:rPr>
              <w:t xml:space="preserve">T1: missing KH; T3: missing N; T5: missing KH; T10: missing KH; T15: missing V</w:t>
            </w:r>
          </w:p>
        </w:tc>
      </w:tr>
      <w:tr>
        <w:tc>
          <w:tcPr>
            <w:tcW w:type="dxa" w:w="1689"/>
          </w:tcPr>
          <w:p>
            <w:pPr>
              <w:pStyle w:val="BodyText"/>
              <w:keepNext w:val="0"/>
              <w:spacing w:after="80" w:line="252" w:lineRule="auto"/>
              <w:jc w:val="left"/>
            </w:pPr>
            <w:r>
              <w:rPr>
                <w:rFonts w:ascii="Calibri" w:hAnsi="Calibri"/>
                <w:sz w:val="17"/>
              </w:rPr>
              <w:t xml:space="preserve">Original selection without FS</w:t>
            </w:r>
          </w:p>
        </w:tc>
        <w:tc>
          <w:tcPr>
            <w:tcW w:type="dxa" w:w="2062"/>
          </w:tcPr>
          <w:p>
            <w:pPr>
              <w:pStyle w:val="BodyText"/>
              <w:keepNext w:val="0"/>
              <w:spacing w:after="80" w:line="252" w:lineRule="auto"/>
              <w:jc w:val="left"/>
            </w:pPr>
            <w:r>
              <w:rPr>
                <w:rFonts w:ascii="Calibri" w:hAnsi="Calibri"/>
                <w:sz w:val="17"/>
              </w:rPr>
              <w:t xml:space="preserve">G, CP, U, Q, KD, KH, FC, X</w:t>
            </w:r>
          </w:p>
        </w:tc>
        <w:tc>
          <w:tcPr>
            <w:tcW w:type="dxa" w:w="2062"/>
          </w:tcPr>
          <w:p>
            <w:pPr>
              <w:pStyle w:val="BodyText"/>
              <w:keepNext w:val="0"/>
              <w:spacing w:after="80" w:line="252" w:lineRule="auto"/>
              <w:jc w:val="left"/>
            </w:pPr>
            <w:r>
              <w:rPr>
                <w:rFonts w:ascii="Calibri" w:hAnsi="Calibri"/>
                <w:sz w:val="17"/>
              </w:rPr>
              <w:t xml:space="preserve">6 / 15</w:t>
            </w:r>
          </w:p>
        </w:tc>
        <w:tc>
          <w:tcPr>
            <w:tcW w:type="dxa" w:w="2062"/>
          </w:tcPr>
          <w:p>
            <w:pPr>
              <w:pStyle w:val="BodyText"/>
              <w:keepNext w:val="0"/>
              <w:spacing w:after="80" w:line="252" w:lineRule="auto"/>
              <w:jc w:val="left"/>
            </w:pPr>
            <w:r>
              <w:rPr>
                <w:rFonts w:ascii="Calibri" w:hAnsi="Calibri"/>
                <w:sz w:val="17"/>
              </w:rPr>
              <w:t xml:space="preserve">T2, T4, T8, T9, T11, T13</w:t>
            </w:r>
          </w:p>
        </w:tc>
        <w:tc>
          <w:tcPr>
            <w:tcW w:type="dxa" w:w="2062"/>
          </w:tcPr>
          <w:p>
            <w:pPr>
              <w:pStyle w:val="BodyText"/>
              <w:keepNext w:val="0"/>
              <w:spacing w:after="80" w:line="252" w:lineRule="auto"/>
              <w:jc w:val="left"/>
            </w:pPr>
            <w:r>
              <w:rPr>
                <w:rFonts w:ascii="Calibri" w:hAnsi="Calibri"/>
                <w:sz w:val="17"/>
              </w:rPr>
              <w:t xml:space="preserve">T1: missing FS; T3: missing N; T5: missing FS; T6: missing FS; T7: missing FS; T10: missing FS; T12: missing FS; T14: missing FS; T15: missing V</w:t>
            </w:r>
          </w:p>
        </w:tc>
      </w:tr>
      <w:tr>
        <w:tc>
          <w:tcPr>
            <w:tcW w:type="dxa" w:w="1689"/>
          </w:tcPr>
          <w:p>
            <w:pPr>
              <w:pStyle w:val="BodyText"/>
              <w:keepNext w:val="0"/>
              <w:spacing w:after="80" w:line="252" w:lineRule="auto"/>
              <w:jc w:val="left"/>
            </w:pPr>
            <w:r>
              <w:rPr>
                <w:rFonts w:ascii="Calibri" w:hAnsi="Calibri"/>
                <w:sz w:val="17"/>
              </w:rPr>
              <w:t xml:space="preserve">Original selection without FC</w:t>
            </w:r>
          </w:p>
        </w:tc>
        <w:tc>
          <w:tcPr>
            <w:tcW w:type="dxa" w:w="2062"/>
          </w:tcPr>
          <w:p>
            <w:pPr>
              <w:pStyle w:val="BodyText"/>
              <w:keepNext w:val="0"/>
              <w:spacing w:after="80" w:line="252" w:lineRule="auto"/>
              <w:jc w:val="left"/>
            </w:pPr>
            <w:r>
              <w:rPr>
                <w:rFonts w:ascii="Calibri" w:hAnsi="Calibri"/>
                <w:sz w:val="17"/>
              </w:rPr>
              <w:t xml:space="preserve">G, CP, U, Q, KD, KH, FS, X</w:t>
            </w:r>
          </w:p>
        </w:tc>
        <w:tc>
          <w:tcPr>
            <w:tcW w:type="dxa" w:w="2062"/>
          </w:tcPr>
          <w:p>
            <w:pPr>
              <w:pStyle w:val="BodyText"/>
              <w:keepNext w:val="0"/>
              <w:spacing w:after="80" w:line="252" w:lineRule="auto"/>
              <w:jc w:val="left"/>
            </w:pPr>
            <w:r>
              <w:rPr>
                <w:rFonts w:ascii="Calibri" w:hAnsi="Calibri"/>
                <w:sz w:val="17"/>
              </w:rPr>
              <w:t xml:space="preserve">6 / 15</w:t>
            </w:r>
          </w:p>
        </w:tc>
        <w:tc>
          <w:tcPr>
            <w:tcW w:type="dxa" w:w="2062"/>
          </w:tcPr>
          <w:p>
            <w:pPr>
              <w:pStyle w:val="BodyText"/>
              <w:keepNext w:val="0"/>
              <w:spacing w:after="80" w:line="252" w:lineRule="auto"/>
              <w:jc w:val="left"/>
            </w:pPr>
            <w:r>
              <w:rPr>
                <w:rFonts w:ascii="Calibri" w:hAnsi="Calibri"/>
                <w:sz w:val="17"/>
              </w:rPr>
              <w:t xml:space="preserve">T2, T4, T8, T9, T11, T13</w:t>
            </w:r>
          </w:p>
        </w:tc>
        <w:tc>
          <w:tcPr>
            <w:tcW w:type="dxa" w:w="2062"/>
          </w:tcPr>
          <w:p>
            <w:pPr>
              <w:pStyle w:val="BodyText"/>
              <w:keepNext w:val="0"/>
              <w:spacing w:after="80" w:line="252" w:lineRule="auto"/>
              <w:jc w:val="left"/>
            </w:pPr>
            <w:r>
              <w:rPr>
                <w:rFonts w:ascii="Calibri" w:hAnsi="Calibri"/>
                <w:sz w:val="17"/>
              </w:rPr>
              <w:t xml:space="preserve">T1: missing FC; T3: missing N; T5: missing FC; T6: missing FC; T7: missing FC; T10: missing FC; T12: missing FC; T14: missing FC; T15: missing V</w:t>
            </w:r>
          </w:p>
        </w:tc>
      </w:tr>
      <w:tr>
        <w:tc>
          <w:tcPr>
            <w:tcW w:type="dxa" w:w="1689"/>
          </w:tcPr>
          <w:p>
            <w:pPr>
              <w:pStyle w:val="BodyText"/>
              <w:keepNext w:val="0"/>
              <w:spacing w:after="80" w:line="252" w:lineRule="auto"/>
              <w:jc w:val="left"/>
            </w:pPr>
            <w:r>
              <w:rPr>
                <w:rFonts w:ascii="Calibri" w:hAnsi="Calibri"/>
                <w:sz w:val="17"/>
              </w:rPr>
              <w:t xml:space="preserve">Original selection without X</w:t>
            </w:r>
          </w:p>
        </w:tc>
        <w:tc>
          <w:tcPr>
            <w:tcW w:type="dxa" w:w="2062"/>
          </w:tcPr>
          <w:p>
            <w:pPr>
              <w:pStyle w:val="BodyText"/>
              <w:keepNext w:val="0"/>
              <w:spacing w:after="80" w:line="252" w:lineRule="auto"/>
              <w:jc w:val="left"/>
            </w:pPr>
            <w:r>
              <w:rPr>
                <w:rFonts w:ascii="Calibri" w:hAnsi="Calibri"/>
                <w:sz w:val="17"/>
              </w:rPr>
              <w:t xml:space="preserve">G, CP, U, Q, KD, KH, FS, FC</w:t>
            </w:r>
          </w:p>
        </w:tc>
        <w:tc>
          <w:tcPr>
            <w:tcW w:type="dxa" w:w="2062"/>
          </w:tcPr>
          <w:p>
            <w:pPr>
              <w:pStyle w:val="BodyText"/>
              <w:keepNext w:val="0"/>
              <w:spacing w:after="80" w:line="252" w:lineRule="auto"/>
              <w:jc w:val="left"/>
            </w:pPr>
            <w:r>
              <w:rPr>
                <w:rFonts w:ascii="Calibri" w:hAnsi="Calibri"/>
                <w:sz w:val="17"/>
              </w:rPr>
              <w:t xml:space="preserve">10 / 15</w:t>
            </w:r>
          </w:p>
        </w:tc>
        <w:tc>
          <w:tcPr>
            <w:tcW w:type="dxa" w:w="2062"/>
          </w:tcPr>
          <w:p>
            <w:pPr>
              <w:pStyle w:val="BodyText"/>
              <w:keepNext w:val="0"/>
              <w:spacing w:after="80" w:line="252" w:lineRule="auto"/>
              <w:jc w:val="left"/>
            </w:pPr>
            <w:r>
              <w:rPr>
                <w:rFonts w:ascii="Calibri" w:hAnsi="Calibri"/>
                <w:sz w:val="17"/>
              </w:rPr>
              <w:t xml:space="preserve">T1, T2, T4, T5, T6, T7, T9, T10, T12, T14</w:t>
            </w:r>
          </w:p>
        </w:tc>
        <w:tc>
          <w:tcPr>
            <w:tcW w:type="dxa" w:w="2062"/>
          </w:tcPr>
          <w:p>
            <w:pPr>
              <w:pStyle w:val="BodyText"/>
              <w:keepNext w:val="0"/>
              <w:spacing w:after="80" w:line="252" w:lineRule="auto"/>
              <w:jc w:val="left"/>
            </w:pPr>
            <w:r>
              <w:rPr>
                <w:rFonts w:ascii="Calibri" w:hAnsi="Calibri"/>
                <w:sz w:val="17"/>
              </w:rPr>
              <w:t xml:space="preserve">T3: missing N; T8: missing X; T11: missing X; T13: missing X; T15: missing X, V</w:t>
            </w:r>
          </w:p>
        </w:tc>
      </w:tr>
      <w:tr>
        <w:tc>
          <w:tcPr>
            <w:tcW w:type="dxa" w:w="1689"/>
          </w:tcPr>
          <w:p>
            <w:pPr>
              <w:pStyle w:val="BodyText"/>
              <w:keepNext w:val="0"/>
              <w:spacing w:after="80" w:line="252" w:lineRule="auto"/>
              <w:jc w:val="left"/>
            </w:pPr>
            <w:r>
              <w:rPr>
                <w:rFonts w:ascii="Calibri" w:hAnsi="Calibri"/>
                <w:sz w:val="17"/>
              </w:rPr>
              <w:t xml:space="preserve">Original selection with N</w:t>
            </w:r>
          </w:p>
        </w:tc>
        <w:tc>
          <w:tcPr>
            <w:tcW w:type="dxa" w:w="2062"/>
          </w:tcPr>
          <w:p>
            <w:pPr>
              <w:pStyle w:val="BodyText"/>
              <w:keepNext w:val="0"/>
              <w:spacing w:after="80" w:line="252" w:lineRule="auto"/>
              <w:jc w:val="left"/>
            </w:pPr>
            <w:r>
              <w:rPr>
                <w:rFonts w:ascii="Calibri" w:hAnsi="Calibri"/>
                <w:sz w:val="17"/>
              </w:rPr>
              <w:t xml:space="preserve">G, CP, U, Q, KD, KH, FS, FC, X, N</w:t>
            </w:r>
          </w:p>
        </w:tc>
        <w:tc>
          <w:tcPr>
            <w:tcW w:type="dxa" w:w="2062"/>
          </w:tcPr>
          <w:p>
            <w:pPr>
              <w:pStyle w:val="BodyText"/>
              <w:keepNext w:val="0"/>
              <w:spacing w:after="80" w:line="252" w:lineRule="auto"/>
              <w:jc w:val="left"/>
            </w:pPr>
            <w:r>
              <w:rPr>
                <w:rFonts w:ascii="Calibri" w:hAnsi="Calibri"/>
                <w:sz w:val="17"/>
              </w:rPr>
              <w:t xml:space="preserve">14 / 15</w:t>
            </w:r>
          </w:p>
        </w:tc>
        <w:tc>
          <w:tcPr>
            <w:tcW w:type="dxa" w:w="2062"/>
          </w:tcPr>
          <w:p>
            <w:pPr>
              <w:pStyle w:val="BodyText"/>
              <w:keepNext w:val="0"/>
              <w:spacing w:after="80" w:line="252" w:lineRule="auto"/>
              <w:jc w:val="left"/>
            </w:pPr>
            <w:r>
              <w:rPr>
                <w:rFonts w:ascii="Calibri" w:hAnsi="Calibri"/>
                <w:sz w:val="17"/>
              </w:rPr>
              <w:t xml:space="preserve">T1, T2, T3, T4, T5, T6, T7, T8, T9, T10, T11, T12, T13, T14</w:t>
            </w:r>
          </w:p>
        </w:tc>
        <w:tc>
          <w:tcPr>
            <w:tcW w:type="dxa" w:w="2062"/>
          </w:tcPr>
          <w:p>
            <w:pPr>
              <w:pStyle w:val="BodyText"/>
              <w:keepNext w:val="0"/>
              <w:spacing w:after="80" w:line="252" w:lineRule="auto"/>
              <w:jc w:val="left"/>
            </w:pPr>
            <w:r>
              <w:rPr>
                <w:rFonts w:ascii="Calibri" w:hAnsi="Calibri"/>
                <w:sz w:val="17"/>
              </w:rPr>
              <w:t xml:space="preserve">T15: missing V</w:t>
            </w:r>
          </w:p>
        </w:tc>
      </w:tr>
      <w:tr>
        <w:tc>
          <w:tcPr>
            <w:tcW w:type="dxa" w:w="1689"/>
          </w:tcPr>
          <w:p>
            <w:pPr>
              <w:pStyle w:val="BodyText"/>
              <w:keepNext w:val="0"/>
              <w:spacing w:after="80" w:line="252" w:lineRule="auto"/>
              <w:jc w:val="left"/>
            </w:pPr>
            <w:r>
              <w:rPr>
                <w:rFonts w:ascii="Calibri" w:hAnsi="Calibri"/>
                <w:sz w:val="17"/>
              </w:rPr>
              <w:t xml:space="preserve">Original selection with V</w:t>
            </w:r>
          </w:p>
        </w:tc>
        <w:tc>
          <w:tcPr>
            <w:tcW w:type="dxa" w:w="2062"/>
          </w:tcPr>
          <w:p>
            <w:pPr>
              <w:pStyle w:val="BodyText"/>
              <w:keepNext w:val="0"/>
              <w:spacing w:after="80" w:line="252" w:lineRule="auto"/>
              <w:jc w:val="left"/>
            </w:pPr>
            <w:r>
              <w:rPr>
                <w:rFonts w:ascii="Calibri" w:hAnsi="Calibri"/>
                <w:sz w:val="17"/>
              </w:rPr>
              <w:t xml:space="preserve">G, CP, U, Q, KD, KH, FS, FC, X, V</w:t>
            </w:r>
          </w:p>
        </w:tc>
        <w:tc>
          <w:tcPr>
            <w:tcW w:type="dxa" w:w="2062"/>
          </w:tcPr>
          <w:p>
            <w:pPr>
              <w:pStyle w:val="BodyText"/>
              <w:keepNext w:val="0"/>
              <w:spacing w:after="80" w:line="252" w:lineRule="auto"/>
              <w:jc w:val="left"/>
            </w:pPr>
            <w:r>
              <w:rPr>
                <w:rFonts w:ascii="Calibri" w:hAnsi="Calibri"/>
                <w:sz w:val="17"/>
              </w:rPr>
              <w:t xml:space="preserve">14 / 15</w:t>
            </w:r>
          </w:p>
        </w:tc>
        <w:tc>
          <w:tcPr>
            <w:tcW w:type="dxa" w:w="2062"/>
          </w:tcPr>
          <w:p>
            <w:pPr>
              <w:pStyle w:val="BodyText"/>
              <w:keepNext w:val="0"/>
              <w:spacing w:after="80" w:line="252" w:lineRule="auto"/>
              <w:jc w:val="left"/>
            </w:pPr>
            <w:r>
              <w:rPr>
                <w:rFonts w:ascii="Calibri" w:hAnsi="Calibri"/>
                <w:sz w:val="17"/>
              </w:rPr>
              <w:t xml:space="preserve">T1, T2, T4, T5, T6, T7, T8, T9, T10, T11, T12, T13, T14, T15</w:t>
            </w:r>
          </w:p>
        </w:tc>
        <w:tc>
          <w:tcPr>
            <w:tcW w:type="dxa" w:w="2062"/>
          </w:tcPr>
          <w:p>
            <w:pPr>
              <w:pStyle w:val="BodyText"/>
              <w:keepNext w:val="0"/>
              <w:spacing w:after="80" w:line="252" w:lineRule="auto"/>
              <w:jc w:val="left"/>
            </w:pPr>
            <w:r>
              <w:rPr>
                <w:rFonts w:ascii="Calibri" w:hAnsi="Calibri"/>
                <w:sz w:val="17"/>
              </w:rPr>
              <w:t xml:space="preserve">T3: missing N</w:t>
            </w:r>
          </w:p>
        </w:tc>
      </w:tr>
      <w:tr>
        <w:tc>
          <w:tcPr>
            <w:tcW w:type="dxa" w:w="1689"/>
          </w:tcPr>
          <w:p>
            <w:pPr>
              <w:pStyle w:val="BodyText"/>
              <w:keepNext w:val="0"/>
              <w:spacing w:after="80" w:line="252" w:lineRule="auto"/>
              <w:jc w:val="left"/>
            </w:pPr>
            <w:r>
              <w:rPr>
                <w:rFonts w:ascii="Calibri" w:hAnsi="Calibri"/>
                <w:sz w:val="17"/>
              </w:rPr>
              <w:t xml:space="preserve">Original selection with W</w:t>
            </w:r>
          </w:p>
        </w:tc>
        <w:tc>
          <w:tcPr>
            <w:tcW w:type="dxa" w:w="2062"/>
          </w:tcPr>
          <w:p>
            <w:pPr>
              <w:pStyle w:val="BodyText"/>
              <w:keepNext w:val="0"/>
              <w:spacing w:after="80" w:line="252" w:lineRule="auto"/>
              <w:jc w:val="left"/>
            </w:pPr>
            <w:r>
              <w:rPr>
                <w:rFonts w:ascii="Calibri" w:hAnsi="Calibri"/>
                <w:sz w:val="17"/>
              </w:rPr>
              <w:t xml:space="preserve">G, CP, U, Q, KD, KH, FS, FC, X, W</w:t>
            </w:r>
          </w:p>
        </w:tc>
        <w:tc>
          <w:tcPr>
            <w:tcW w:type="dxa" w:w="2062"/>
          </w:tcPr>
          <w:p>
            <w:pPr>
              <w:pStyle w:val="BodyText"/>
              <w:keepNext w:val="0"/>
              <w:spacing w:after="80" w:line="252" w:lineRule="auto"/>
              <w:jc w:val="left"/>
            </w:pPr>
            <w:r>
              <w:rPr>
                <w:rFonts w:ascii="Calibri" w:hAnsi="Calibri"/>
                <w:sz w:val="17"/>
              </w:rPr>
              <w:t xml:space="preserve">13 / 15</w:t>
            </w:r>
          </w:p>
        </w:tc>
        <w:tc>
          <w:tcPr>
            <w:tcW w:type="dxa" w:w="2062"/>
          </w:tcPr>
          <w:p>
            <w:pPr>
              <w:pStyle w:val="BodyText"/>
              <w:keepNext w:val="0"/>
              <w:spacing w:after="80" w:line="252" w:lineRule="auto"/>
              <w:jc w:val="left"/>
            </w:pPr>
            <w:r>
              <w:rPr>
                <w:rFonts w:ascii="Calibri" w:hAnsi="Calibri"/>
                <w:sz w:val="17"/>
              </w:rPr>
              <w:t xml:space="preserve">T1, T2, T4, T5, T6, T7, T8, T9, T10, T11, T12, T13, T14</w:t>
            </w:r>
          </w:p>
        </w:tc>
        <w:tc>
          <w:tcPr>
            <w:tcW w:type="dxa" w:w="2062"/>
          </w:tcPr>
          <w:p>
            <w:pPr>
              <w:pStyle w:val="BodyText"/>
              <w:keepNext w:val="0"/>
              <w:spacing w:after="80" w:line="252" w:lineRule="auto"/>
              <w:jc w:val="left"/>
            </w:pPr>
            <w:r>
              <w:rPr>
                <w:rFonts w:ascii="Calibri" w:hAnsi="Calibri"/>
                <w:sz w:val="17"/>
              </w:rPr>
              <w:t xml:space="preserve">T3: missing N; T15: missing V</w:t>
            </w:r>
          </w:p>
        </w:tc>
      </w:tr>
    </w:tbl>
    <w:p>
      <w:pPr>
        <w:pStyle w:val="BodyText"/>
      </w:pPr>
      <w:r>
        <w:t xml:space="preserve">These rows reconstruct the live explorer from each theorem’s actual requires list. They do not assert that no alternative proof or retained substitute exists. Countermodels and their philosophical scope are in the formal architecture included with this backup.</w:t>
      </w:r>
    </w:p>
    <w:bookmarkEnd w:id="305"/>
    <w:bookmarkStart w:id="306" w:name="X4f60d9fdf7fd4b50b1ada39daaa87987c168064"/>
    <w:p>
      <w:pPr>
        <w:pStyle w:val="Heading3"/>
      </w:pPr>
      <w:r>
        <w:t xml:space="preserve">Freedom-check messages shown by the live explorer</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State</w:t>
            </w:r>
          </w:p>
        </w:tc>
        <w:tc>
          <w:tcPr>
            <w:tcW w:type="dxa" w:w="7452"/>
            <w:shd w:fill="EAE5DA"/>
          </w:tcPr>
          <w:p>
            <w:pPr>
              <w:pStyle w:val="BodyText"/>
              <w:keepNext w:val="0"/>
              <w:spacing w:after="80" w:line="252" w:lineRule="auto"/>
              <w:jc w:val="left"/>
            </w:pPr>
            <w:r>
              <w:rPr>
                <w:rFonts w:ascii="Calibri" w:hAnsi="Calibri"/>
                <w:b/>
                <w:sz w:val="17"/>
              </w:rPr>
              <w:t xml:space="preserve">Displayed diagnosis</w:t>
            </w:r>
          </w:p>
        </w:tc>
      </w:tr>
      <w:tr>
        <w:tc>
          <w:tcPr>
            <w:tcW w:type="dxa" w:w="2484"/>
          </w:tcPr>
          <w:p>
            <w:pPr>
              <w:pStyle w:val="BodyText"/>
              <w:keepNext w:val="0"/>
              <w:spacing w:after="80" w:line="252" w:lineRule="auto"/>
              <w:jc w:val="left"/>
            </w:pPr>
            <w:r>
              <w:rPr>
                <w:rFonts w:ascii="Calibri" w:hAnsi="Calibri"/>
                <w:sz w:val="17"/>
              </w:rPr>
              <w:t xml:space="preserve">All nine original clauses selected</w:t>
            </w:r>
          </w:p>
        </w:tc>
        <w:tc>
          <w:tcPr>
            <w:tcW w:type="dxa" w:w="7452"/>
          </w:tcPr>
          <w:p>
            <w:pPr>
              <w:pStyle w:val="BodyText"/>
              <w:keepNext w:val="0"/>
              <w:spacing w:after="80" w:line="252" w:lineRule="auto"/>
              <w:jc w:val="left"/>
            </w:pPr>
            <w:r>
              <w:rPr>
                <w:rFonts w:ascii="Calibri" w:hAnsi="Calibri"/>
                <w:sz w:val="17"/>
              </w:rPr>
              <w:t xml:space="preserve">The strict no-common-genus result needs N. Contingency needs V; intentional freedom also needs W. Genuine secondary agency remains a separate commitment.</w:t>
            </w:r>
          </w:p>
        </w:tc>
      </w:tr>
      <w:tr>
        <w:tc>
          <w:tcPr>
            <w:tcW w:type="dxa" w:w="2484"/>
          </w:tcPr>
          <w:p>
            <w:pPr>
              <w:pStyle w:val="BodyText"/>
              <w:keepNext w:val="0"/>
              <w:spacing w:after="80" w:line="252" w:lineRule="auto"/>
              <w:jc w:val="left"/>
            </w:pPr>
            <w:r>
              <w:rPr>
                <w:rFonts w:ascii="Calibri" w:hAnsi="Calibri"/>
                <w:sz w:val="17"/>
              </w:rPr>
              <w:t xml:space="preserve">V selected without W</w:t>
            </w:r>
          </w:p>
        </w:tc>
        <w:tc>
          <w:tcPr>
            <w:tcW w:type="dxa" w:w="7452"/>
          </w:tcPr>
          <w:p>
            <w:pPr>
              <w:pStyle w:val="BodyText"/>
              <w:keepNext w:val="0"/>
              <w:spacing w:after="80" w:line="252" w:lineRule="auto"/>
              <w:jc w:val="left"/>
            </w:pPr>
            <w:r>
              <w:rPr>
                <w:rFonts w:ascii="Calibri" w:hAnsi="Calibri"/>
                <w:sz w:val="17"/>
              </w:rPr>
              <w:t xml:space="preserve">Live alternatives are selected. Intentional freedom remains unestablished until W is added.</w:t>
            </w:r>
          </w:p>
        </w:tc>
      </w:tr>
      <w:tr>
        <w:tc>
          <w:tcPr>
            <w:tcW w:type="dxa" w:w="2484"/>
          </w:tcPr>
          <w:p>
            <w:pPr>
              <w:pStyle w:val="BodyText"/>
              <w:keepNext w:val="0"/>
              <w:spacing w:after="80" w:line="252" w:lineRule="auto"/>
              <w:jc w:val="left"/>
            </w:pPr>
            <w:r>
              <w:rPr>
                <w:rFonts w:ascii="Calibri" w:hAnsi="Calibri"/>
                <w:sz w:val="17"/>
              </w:rPr>
              <w:t xml:space="preserve">V and W selected</w:t>
            </w:r>
          </w:p>
        </w:tc>
        <w:tc>
          <w:tcPr>
            <w:tcW w:type="dxa" w:w="7452"/>
          </w:tcPr>
          <w:p>
            <w:pPr>
              <w:pStyle w:val="BodyText"/>
              <w:keepNext w:val="0"/>
              <w:spacing w:after="80" w:line="252" w:lineRule="auto"/>
              <w:jc w:val="left"/>
            </w:pPr>
            <w:r>
              <w:rPr>
                <w:rFonts w:ascii="Calibri" w:hAnsi="Calibri"/>
                <w:sz w:val="17"/>
              </w:rPr>
              <w:t xml:space="preserve">V + W adds intentional choice among alternatives. This is an extension, not a theorem of non-exhaustion.</w:t>
            </w:r>
          </w:p>
        </w:tc>
      </w:tr>
    </w:tbl>
    <w:bookmarkEnd w:id="306"/>
    <w:bookmarkEnd w:id="307"/>
    <w:p>
      <w:pPr>
        <w:pStyle w:val="Heading1"/>
      </w:pPr>
      <w:r>
        <w:t xml:space="preserve">Appendix A — report.md</w:t>
      </w:r>
    </w:p>
    <w:p>
      <w:pPr>
        <w:pStyle w:val="FirstParagraph"/>
      </w:pPr>
      <w:r>
        <w:t xml:space="preserve">Original research file: https:/​/​participation-​6o4.​pages.​dev/​research/​report.​md</w:t>
      </w:r>
    </w:p>
    <w:bookmarkStart w:id="337" w:name="Xa612323840c2542eae9bcd30d8c3bee9886bbd6"/>
    <w:p>
      <w:pPr>
        <w:pStyle w:val="Heading2"/>
      </w:pPr>
      <w:r>
        <w:t xml:space="preserve">Minimal Generative Grammar of Participation</w:t>
      </w:r>
    </w:p>
    <w:p>
      <w:pPr>
        <w:pStyle w:val="FirstParagraph"/>
      </w:pPr>
      <w:r>
        <w:rPr>
          <w:b/>
          <w:bCs/>
        </w:rPr>
        <w:t xml:space="preserve">Constructive research synthesis — provisional historical verification.</w:t>
      </w:r>
      <w:r>
        <w:t xml:space="preserve"> </w:t>
      </w:r>
      <w:r>
        <w:t xml:space="preserve">The main argument is self-contained; the linked dossiers provide historical and formal depth. This is not defined doctrine, a complete critical-edition survey, a proof of God’s existence, or a proof of global minimality.</w:t>
      </w:r>
    </w:p>
    <w:bookmarkStart w:id="310" w:name="what-this-page-is"/>
    <w:p>
      <w:pPr>
        <w:pStyle w:val="Heading3"/>
      </w:pPr>
      <w:r>
        <w:t xml:space="preserve">00 / What this page is</w:t>
      </w:r>
    </w:p>
    <w:bookmarkStart w:id="308" w:name="Xf5df08ae54450661e1e5b1efab3be0044c38419"/>
    <w:p>
      <w:pPr>
        <w:pStyle w:val="Heading4"/>
      </w:pPr>
      <w:r>
        <w:t xml:space="preserve">A constructive reconstruction of participation metaphysics</w:t>
      </w:r>
    </w:p>
    <w:p>
      <w:pPr>
        <w:pStyle w:val="FirstParagraph"/>
      </w:pPr>
      <w:r>
        <w:t xml:space="preserve">This page asks a deliberately narrow question: what is the smallest honest metaphysical grammar needed to explain how a finite creature can be from God, genuinely like God, and yet remain genuinely other than God?</w:t>
      </w:r>
    </w:p>
    <w:p>
      <w:pPr>
        <w:pStyle w:val="BodyText"/>
      </w:pPr>
      <w:r>
        <w:t xml:space="preserve">A creature can receive its life and genuinely live it. A power can be given and genuinely belong to the one who exercises it. Christian participation metaphysics begins with that conjunction: real possession without independence. Created being, goodness, life, intelligibility, and power come from God, yet creatures are not pieces of God. Their actuality is received according to their own modes; the divine source is neither divided among them nor completed by them.</w:t>
      </w:r>
    </w:p>
    <w:p>
      <w:pPr>
        <w:pStyle w:val="BodyText"/>
      </w:pPr>
      <w:r>
        <w:t xml:space="preserve">The problem is to explain this conjunction rather than repeat it. Participation, analogy, exemplarism, procession, likeness, and return often carry several claims together. This inquiry separates them: what makes a creature actual, what it depends upon, what it genuinely possesses, what it consists of, what it can express, and what would fulfill it. It then asks what warrants each passage. Participation is the connective relation, not a substitute for those arguments.</w:t>
      </w:r>
    </w:p>
    <w:p>
      <w:pPr>
        <w:pStyle w:val="BodyText"/>
      </w:pPr>
      <w:r>
        <w:t xml:space="preserve">The initial hypothesis was that actuality, received dependence, and measure might be sufficient. The proposed reconstruction needs more. Dependence alone does not establish likeness. Underivation excludes proper intrinsic constituents only when composition entails dependence. A finite effect’s inability to exhaust an unlimited source does not establish that the source was free not to produce it. Identifying these missing bridges makes the account stronger: every conclusion receives its own reason rather than borrowing the force of another.</w:t>
      </w:r>
    </w:p>
    <w:p>
      <w:pPr>
        <w:pStyle w:val="BodyText"/>
      </w:pPr>
      <w:r>
        <w:t xml:space="preserve">The resulting grammar is</w:t>
      </w:r>
      <w:r>
        <w:t xml:space="preserve"> </w:t>
      </w:r>
      <w:r>
        <w:t xml:space="preserve">“</w:t>
      </w:r>
      <w:r>
        <w:t xml:space="preserve">minimal</w:t>
      </w:r>
      <w:r>
        <w:t xml:space="preserve">”</w:t>
      </w:r>
      <w:r>
        <w:t xml:space="preserve"> </w:t>
      </w:r>
      <w:r>
        <w:t xml:space="preserve">within its stated language and assumptions. Combining many axioms into one enormous axiom would shorten the list without shortening the argument. Each retained premise must contribute something the others do not supply. Removing a premise and testing rival models therefore play a central role. If likeness disappears when causal adequacy is removed, causation was never enough to establish likeness. If noncomposition disappears when the principle connecting constitution to dependence is removed, underivation was never secretly simplicity. If freedom disappears while non-exhaustion remains, inexhaustibility was never secretly freedom.</w:t>
      </w:r>
    </w:p>
    <w:p>
      <w:pPr>
        <w:pStyle w:val="BodyText"/>
      </w:pPr>
      <w:r>
        <w:t xml:space="preserve">The historical tradition is used in the same disciplined way. Plato, Gregory of Nyssa, Augustine, Dionysius, Maximus, Eriugena, Anselm, Bonaventure, Aquinas, Scotus, Przywara, and others are not treated as teaching one identical hidden system. They offer overlapping solutions to recurring problems: participation without partition, likeness without identity, causal intimacy without constitution, transcendence without distance, manifestation without exhaustion, and dependence without rivalry. The constructive synthesis belongs to this project, even where its elements are deeply rooted in the tradition. Newman’s account of development is used only analogically, as a test of whether the synthesis preserves rather than reverses the tradition’s central achievements.</w:t>
      </w:r>
    </w:p>
    <w:p>
      <w:pPr>
        <w:pStyle w:val="BodyText"/>
      </w:pPr>
      <w:r>
        <w:t xml:space="preserve">As a Christian interpretation, the project preserves Creator–creature distinction, creation without divine material, divine sufficiency, real creaturely goodness, and real divine causality. Philosophy asks how these commitments can be articulated coherently and which arguments support them. Revelation supplies further determinations: ordinary participation in created being does not by itself establish grace, the Trinity, the Incarnation, or beatific communion.</w:t>
      </w:r>
    </w:p>
    <w:p>
      <w:pPr>
        <w:pStyle w:val="BodyText"/>
      </w:pPr>
      <w:r>
        <w:rPr>
          <w:b/>
          <w:bCs/>
        </w:rPr>
        <w:t xml:space="preserve">The methodological rule:</w:t>
      </w:r>
      <w:r>
        <w:t xml:space="preserve"> </w:t>
      </w:r>
      <w:r>
        <w:t xml:space="preserve">Keep the categories apart long enough to discover why they belong together.</w:t>
      </w:r>
    </w:p>
    <w:p>
      <w:pPr>
        <w:pStyle w:val="BodyText"/>
      </w:pPr>
      <w:r>
        <w:t xml:space="preserve">Given the stated source and causal principles, a finite being can genuinely possess received actuality and express its source according to its own mode, while the source remains undivided and uncompleted. Dependence explains the gift; it does not make the recipient’s life less real.</w:t>
      </w:r>
    </w:p>
    <w:p>
      <w:pPr>
        <w:pStyle w:val="BodyText"/>
      </w:pPr>
      <w:r>
        <w:rPr>
          <w:b/>
          <w:bCs/>
        </w:rPr>
        <w:t xml:space="preserve">The receiver’s measure measures the reception. It does not measure the source.</w:t>
      </w:r>
    </w:p>
    <w:bookmarkEnd w:id="308"/>
    <w:bookmarkStart w:id="309" w:name="the-next-open-question"/>
    <w:p>
      <w:pPr>
        <w:pStyle w:val="Heading4"/>
      </w:pPr>
      <w:r>
        <w:t xml:space="preserve">The next open question</w:t>
      </w:r>
    </w:p>
    <w:p>
      <w:pPr>
        <w:pStyle w:val="FirstParagraph"/>
      </w:pPr>
      <w:r>
        <w:t xml:space="preserve">The next question concerns divine agency: how can God freely and knowingly create this world rather than another without acquiring an intrinsic determination? This reconstruction already excludes proper intrinsic constituents, given an underived source and the principle that a whole depends on such constituents. It does not establish every stronger account of divine simplicity or explain free creative action. Further work must defend the relevant principles and explain how divine action has a determinate intention and how God knows it, without building freedom or knowledge into their definitions.</w:t>
      </w:r>
    </w:p>
    <w:p>
      <w:pPr>
        <w:pStyle w:val="BodyText"/>
      </w:pPr>
      <w:r>
        <w:t xml:space="preserve">A constructive proposal with conditional derivations and provisional historical verification; not a proof of global minimality or a definition of doctrine.</w:t>
      </w:r>
    </w:p>
    <w:p>
      <w:pPr>
        <w:pStyle w:val="BodyText"/>
      </w:pPr>
      <w:r>
        <w:rPr>
          <w:b/>
          <w:bCs/>
        </w:rPr>
        <w:t xml:space="preserve">How to read this page:</w:t>
      </w:r>
      <w:r>
        <w:t xml:space="preserve"> </w:t>
      </w:r>
      <w:r>
        <w:t xml:space="preserve">Begin with received possession and the positive meaning of finite measure. Then read the basis and derivations, and use the deletion lab to test each premise. The genealogy and source ledger distinguish historical resources from this project’s constructive proposals.</w:t>
      </w:r>
    </w:p>
    <w:bookmarkEnd w:id="309"/>
    <w:bookmarkEnd w:id="310"/>
    <w:bookmarkStart w:id="315" w:name="participation-as-real-possession"/>
    <w:p>
      <w:pPr>
        <w:pStyle w:val="Heading3"/>
      </w:pPr>
      <w:r>
        <w:t xml:space="preserve">Participation as real possession</w:t>
      </w:r>
    </w:p>
    <w:bookmarkStart w:id="311" w:name="Xa3e00fc19199bcce50dcca2843fc67b268668c2"/>
    <w:p>
      <w:pPr>
        <w:pStyle w:val="Heading4"/>
      </w:pPr>
      <w:r>
        <w:t xml:space="preserve">A received life is genuinely the creature’s life</w:t>
      </w:r>
    </w:p>
    <w:p>
      <w:pPr>
        <w:pStyle w:val="FirstParagraph"/>
      </w:pPr>
      <w:r>
        <w:t xml:space="preserve">Participation means real, dependent possession of received actuality or perfection according to the participant’s mode. Real possession matters as much as dependence: the creature actually lives, understands, and acts. What comes from a source is realized in the recipient; it is not merely a description of the source projected onto an otherwise empty appearance. Dependence concerns why the perfection obtains. Possession concerns where and how it obtains. These questions can have different answers without contradiction.</w:t>
      </w:r>
    </w:p>
    <w:p>
      <w:pPr>
        <w:pStyle w:val="BodyText"/>
      </w:pPr>
      <w:r>
        <w:t xml:space="preserve">Receiving a power does not yet amount to exercising it. To establish genuine creaturely action, add a further principle: some received powers are productive powers of the creature itself, whose exercise remains sustained by God. Divine causality and creaturely causality then explain one event in different respects. The creature’s dependence does not erase its authorship. An occasionalist rival denies this further principle, so real secondary agency must be defended rather than extracted from the word participation.</w:t>
      </w:r>
    </w:p>
    <w:bookmarkEnd w:id="311"/>
    <w:bookmarkStart w:id="312" w:name="X3b79179a33f2f61a6186aa4d4830b778f902a29"/>
    <w:p>
      <w:pPr>
        <w:pStyle w:val="Heading4"/>
      </w:pPr>
      <w:r>
        <w:t xml:space="preserve">Expression needs intelligible correspondence</w:t>
      </w:r>
    </w:p>
    <w:p>
      <w:pPr>
        <w:pStyle w:val="FirstParagraph"/>
      </w:pPr>
      <w:r>
        <w:t xml:space="preserve">An effect can disclose its source because the relation connects what is realized in the effect with something true of that source. Mere production does not establish every proposed attribution. A machine can print meaningful words without understanding them. An artisan can shape stone without being stone. An effect may therefore establish causal capacity while leaving intrinsic perfection, intention, or personal character undecided.</w:t>
      </w:r>
    </w:p>
    <w:p>
      <w:pPr>
        <w:pStyle w:val="BodyText"/>
      </w:pPr>
      <w:r>
        <w:t xml:space="preserve">The positive bridge proposed here is stronger: a genuine perfection in a derivative effect has an adequate ultimate source in which the corresponding positive content genuinely obtains, though not necessarily under the effect’s received mode. This is Q, the causal-adequacy principle. It requires an account of the positive content, not just the claim that the source can cause it. Exemplarism and the tradition of the logoi offer historical accounts of this source-related intelligibility. Their exact metaphysical commitments still require comparison.</w:t>
      </w:r>
    </w:p>
    <w:p>
      <w:pPr>
        <w:pStyle w:val="BodyText"/>
      </w:pPr>
      <w:r>
        <w:t xml:space="preserve">Under Q, participation can become objective expression even when nobody recognizes it. Recognition is another achievement: knowledge requires a truth-conducive relation and warranted uptake. Thus causal origin, expressive likeness, and warranted knowledge remain distinct. This lets the account affirm genuine manifestation while identifying exactly what a finite effect permits us to say.</w:t>
      </w:r>
    </w:p>
    <w:bookmarkEnd w:id="312"/>
    <w:bookmarkStart w:id="313" w:name="Xdfc8e9b12f2385346fd26d8ecefe382095e3b14"/>
    <w:p>
      <w:pPr>
        <w:pStyle w:val="Heading4"/>
      </w:pPr>
      <w:r>
        <w:t xml:space="preserve">Finite measure can help constitute a good</w:t>
      </w:r>
    </w:p>
    <w:p>
      <w:pPr>
        <w:pStyle w:val="FirstParagraph"/>
      </w:pPr>
      <w:r>
        <w:t xml:space="preserve">Finite reception does not exhaust an unlimited source. Yet finitude is not a single defect to be removed from every creaturely good. Three cases matter. A privation, such as ignorance, impedes an appropriate good. A constitutive finite condition helps make a particular good what it is: a melody needs succession, and a promise needs a history in which fidelity can be enacted. Removing distortion can improve the same melody; sounding every note at once abolishes it.</w:t>
      </w:r>
    </w:p>
    <w:p>
      <w:pPr>
        <w:pStyle w:val="BodyText"/>
      </w:pPr>
      <w:r>
        <w:t xml:space="preserve">An adverse occasion is different again. Courage can be good in danger, and forgiveness can be good after injury. The goodness of the response neither makes the threat or injury good nor justifies causing it. A theory of fulfillment must preserve the response’s positive actuality while refusing to manufacture a justification of evil from it.</w:t>
      </w:r>
    </w:p>
    <w:p>
      <w:pPr>
        <w:pStyle w:val="BodyText"/>
      </w:pPr>
      <w:r>
        <w:t xml:space="preserve">God can ground the positive reality of learning without learning, and the good of courage without undergoing danger. The entire finite description need not be transferred to its source. Likewise, finite knowledge need not be false or vague. A finite proposition can state something exactly true without reproducing the whole actuality of its object. The measure comparison in this model concerns finite reception of actuality; it is not a proof that every finite statement is inadequate.</w:t>
      </w:r>
    </w:p>
    <w:bookmarkEnd w:id="313"/>
    <w:bookmarkStart w:id="314" w:name="fulfillment-preserves-the-participant"/>
    <w:p>
      <w:pPr>
        <w:pStyle w:val="Heading4"/>
      </w:pPr>
      <w:r>
        <w:t xml:space="preserve">Fulfillment preserves the participant</w:t>
      </w:r>
    </w:p>
    <w:p>
      <w:pPr>
        <w:pStyle w:val="FirstParagraph"/>
      </w:pPr>
      <w:r>
        <w:t xml:space="preserve">Origin answers why a participant is; fulfillment asks what would perfect it. The second question requires an account of the subject’s good. Participation becomes ordered toward fulfillment when received powers can attain fitting ends, rather than merely continue to exist. Knowledge, fidelity, friendship, and love can then be real creaturely achievements. Their dependence on God does not relocate their history inside God or make them stages in divine self-completion.</w:t>
      </w:r>
    </w:p>
    <w:p>
      <w:pPr>
        <w:pStyle w:val="BodyText"/>
      </w:pPr>
      <w:r>
        <w:t xml:space="preserve">Communion adds more than resemblance or causal contact: distinct persons know and love one another. Its reality requires their difference to endure. The Christian account of grace and beatific vision therefore extends the natural grammar with revealed commitments. It promises God himself, not merely a created substitute, while preserving the creature’s finite act of reception. Finite measure need not mean distance, and immediacy need not mean exhaustive comprehension. Return is the participant’s fulfillment without absorption into its source.</w:t>
      </w:r>
    </w:p>
    <w:p>
      <w:pPr>
        <w:pStyle w:val="BodyText"/>
      </w:pPr>
      <w:r>
        <w:t xml:space="preserve">The five working engines are analytical jobs: determination and realization; dependence and origin; possibility and agency; manifestation and measure; goodness and fulfillment. They help audit the argument and are not the five primitive groups of the formal model. See the</w:t>
      </w:r>
      <w:r>
        <w:t xml:space="preserve"> </w:t>
      </w:r>
      <w:hyperlink r:id="rId184">
        <w:r>
          <w:rPr>
            <w:rStyle w:val="Hyperlink"/>
          </w:rPr>
          <w:t xml:space="preserve">shared reading guide</w:t>
        </w:r>
      </w:hyperlink>
      <w:r>
        <w:t xml:space="preserve">.</w:t>
      </w:r>
    </w:p>
    <w:bookmarkEnd w:id="314"/>
    <w:bookmarkEnd w:id="315"/>
    <w:bookmarkStart w:id="316" w:name="the-result"/>
    <w:p>
      <w:pPr>
        <w:pStyle w:val="Heading3"/>
      </w:pPr>
      <w:r>
        <w:t xml:space="preserve">The result</w:t>
      </w:r>
    </w:p>
    <w:p>
      <w:pPr>
        <w:pStyle w:val="FirstParagraph"/>
      </w:pPr>
      <w:r>
        <w:t xml:space="preserve">The proposed basis of actuality + received dependence + measure is insufficient. A dependence graph has no qualitative likeness or constitution information. Underivation does not imply infinity; non-exhaustion does not imply contingency. The source–creature distinction can instead be generated conditionally from sourced actuality and underivation, while nonpartition requires separate constitution bridges.</w:t>
      </w:r>
    </w:p>
    <w:p>
      <w:pPr>
        <w:pStyle w:val="BodyText"/>
      </w:pPr>
      <w:r>
        <w:t xml:space="preserve">The smallest</w:t>
      </w:r>
      <w:r>
        <w:t xml:space="preserve"> </w:t>
      </w:r>
      <w:r>
        <w:rPr>
          <w:i/>
          <w:iCs/>
        </w:rPr>
        <w:t xml:space="preserve">proposed</w:t>
      </w:r>
      <w:r>
        <w:t xml:space="preserve"> </w:t>
      </w:r>
      <w:r>
        <w:t xml:space="preserve">basis here is five information-bearing families and nine substantive clauses, relative to disclosed background semantics. Nine is not a count of every assumption. An absolute smallest list is not established: predicates can encode each other and axioms can be conjoined. The actual result is an irredundant reconstruction in a fixed language, with explicit extensions and countermodels.</w:t>
      </w:r>
    </w:p>
    <w:bookmarkEnd w:id="316"/>
    <w:bookmarkStart w:id="317" w:name="primitive-notions"/>
    <w:p>
      <w:pPr>
        <w:pStyle w:val="Heading3"/>
      </w:pPr>
      <w:r>
        <w:t xml:space="preserve">1. Primitive notions</w:t>
      </w:r>
    </w:p>
    <w:tbl>
      <w:tblPr>
        <w:tblStyle w:val="TableGrid"/>
        <w:tblW w:type="dxa" w:w="9936"/>
        <w:jc w:val="left"/>
        <w:tblLayout w:type="fixed"/>
        <w:tblLook w:firstRow="1" w:lastRow="0" w:firstColumn="0" w:lastColumn="0" w:noHBand="0" w:noVBand="0" w:val="0020"/>
      </w:tblPr>
      <w:tblGrid>
        <w:gridCol w:w="3312"/>
        <w:gridCol w:w="3312"/>
        <w:gridCol w:w="3312"/>
      </w:tblGrid>
      <w:tr>
        <w:trPr>
          <w:tblHeader w:val="true"/>
        </w:trPr>
        <w:tc>
          <w:tcPr>
            <w:tcW w:type="dxa" w:w="3312"/>
            <w:shd w:fill="EAE5DA"/>
          </w:tcPr>
          <w:p>
            <w:pPr>
              <w:pStyle w:val="BodyText"/>
              <w:keepNext w:val="0"/>
              <w:spacing w:after="80" w:line="252" w:lineRule="auto"/>
              <w:jc w:val="left"/>
            </w:pPr>
            <w:r>
              <w:rPr>
                <w:rFonts w:ascii="Calibri" w:hAnsi="Calibri"/>
                <w:b/>
                <w:sz w:val="17"/>
              </w:rPr>
              <w:t xml:space="preserve">Notation</w:t>
            </w:r>
          </w:p>
        </w:tc>
        <w:tc>
          <w:tcPr>
            <w:tcW w:type="dxa" w:w="3312"/>
            <w:shd w:fill="EAE5DA"/>
          </w:tcPr>
          <w:p>
            <w:pPr>
              <w:pStyle w:val="BodyText"/>
              <w:keepNext w:val="0"/>
              <w:spacing w:after="80" w:line="252" w:lineRule="auto"/>
              <w:jc w:val="left"/>
            </w:pPr>
            <w:r>
              <w:rPr>
                <w:rFonts w:ascii="Calibri" w:hAnsi="Calibri"/>
                <w:b/>
                <w:sz w:val="17"/>
              </w:rPr>
              <w:t xml:space="preserve">Information retained</w:t>
            </w:r>
          </w:p>
        </w:tc>
        <w:tc>
          <w:tcPr>
            <w:tcW w:type="dxa" w:w="3312"/>
            <w:shd w:fill="EAE5DA"/>
          </w:tcPr>
          <w:p>
            <w:pPr>
              <w:pStyle w:val="BodyText"/>
              <w:keepNext w:val="0"/>
              <w:spacing w:after="80" w:line="252" w:lineRule="auto"/>
              <w:jc w:val="left"/>
            </w:pPr>
            <w:r>
              <w:rPr>
                <w:rFonts w:ascii="Calibri" w:hAnsi="Calibri"/>
                <w:b/>
                <w:sz w:val="17"/>
              </w:rPr>
              <w:t xml:space="preserve">Interpretation</w:t>
            </w:r>
          </w:p>
        </w:tc>
      </w:tr>
      <w:tr>
        <w:tc>
          <w:tcPr>
            <w:tcW w:type="dxa" w:w="3312"/>
          </w:tcPr>
          <w:p>
            <w:pPr>
              <w:pStyle w:val="BodyText"/>
              <w:keepNext w:val="0"/>
              <w:spacing w:after="80" w:line="252" w:lineRule="auto"/>
              <w:jc w:val="left"/>
            </w:pPr>
            <w:r>
              <w:rPr>
                <w:rFonts w:ascii="Calibri" w:hAnsi="Calibri"/>
                <w:sz w:val="17"/>
              </w:rPr>
              <w:t xml:space="preserve">Cᵥ(y,x,q)</w:t>
            </w:r>
          </w:p>
        </w:tc>
        <w:tc>
          <w:tcPr>
            <w:tcW w:type="dxa" w:w="3312"/>
          </w:tcPr>
          <w:p>
            <w:pPr>
              <w:pStyle w:val="BodyText"/>
              <w:keepNext w:val="0"/>
              <w:spacing w:after="80" w:line="252" w:lineRule="auto"/>
              <w:jc w:val="left"/>
            </w:pPr>
            <w:r>
              <w:rPr>
                <w:rFonts w:ascii="Calibri" w:hAnsi="Calibri"/>
                <w:sz w:val="17"/>
              </w:rPr>
              <w:t xml:space="preserve">Productive causation</w:t>
            </w:r>
          </w:p>
        </w:tc>
        <w:tc>
          <w:tcPr>
            <w:tcW w:type="dxa" w:w="3312"/>
          </w:tcPr>
          <w:p>
            <w:pPr>
              <w:pStyle w:val="BodyText"/>
              <w:keepNext w:val="0"/>
              <w:spacing w:after="80" w:line="252" w:lineRule="auto"/>
              <w:jc w:val="left"/>
            </w:pPr>
            <w:r>
              <w:rPr>
                <w:rFonts w:ascii="Calibri" w:hAnsi="Calibri"/>
                <w:sz w:val="17"/>
              </w:rPr>
              <w:t xml:space="preserve">y produces or sustains a real perfection q in x. Causing something remains distinct from being a constituent of it.</w:t>
            </w:r>
          </w:p>
        </w:tc>
      </w:tr>
      <w:tr>
        <w:tc>
          <w:tcPr>
            <w:tcW w:type="dxa" w:w="3312"/>
          </w:tcPr>
          <w:p>
            <w:pPr>
              <w:pStyle w:val="BodyText"/>
              <w:keepNext w:val="0"/>
              <w:spacing w:after="80" w:line="252" w:lineRule="auto"/>
              <w:jc w:val="left"/>
            </w:pPr>
            <w:r>
              <w:rPr>
                <w:rFonts w:ascii="Calibri" w:hAnsi="Calibri"/>
                <w:sz w:val="17"/>
              </w:rPr>
              <w:t xml:space="preserve">Dᵥ(x,y,r)</w:t>
            </w:r>
          </w:p>
        </w:tc>
        <w:tc>
          <w:tcPr>
            <w:tcW w:type="dxa" w:w="3312"/>
          </w:tcPr>
          <w:p>
            <w:pPr>
              <w:pStyle w:val="BodyText"/>
              <w:keepNext w:val="0"/>
              <w:spacing w:after="80" w:line="252" w:lineRule="auto"/>
              <w:jc w:val="left"/>
            </w:pPr>
            <w:r>
              <w:rPr>
                <w:rFonts w:ascii="Calibri" w:hAnsi="Calibri"/>
                <w:sz w:val="17"/>
              </w:rPr>
              <w:t xml:space="preserve">Ontological dependence</w:t>
            </w:r>
          </w:p>
        </w:tc>
        <w:tc>
          <w:tcPr>
            <w:tcW w:type="dxa" w:w="3312"/>
          </w:tcPr>
          <w:p>
            <w:pPr>
              <w:pStyle w:val="BodyText"/>
              <w:keepNext w:val="0"/>
              <w:spacing w:after="80" w:line="252" w:lineRule="auto"/>
              <w:jc w:val="left"/>
            </w:pPr>
            <w:r>
              <w:rPr>
                <w:rFonts w:ascii="Calibri" w:hAnsi="Calibri"/>
                <w:sz w:val="17"/>
              </w:rPr>
              <w:t xml:space="preserve">x depends on y for its actuality in respect r. This concerns what sustains or explains x, rather than merely what would happen if y were absent.</w:t>
            </w:r>
          </w:p>
        </w:tc>
      </w:tr>
      <w:tr>
        <w:tc>
          <w:tcPr>
            <w:tcW w:type="dxa" w:w="3312"/>
          </w:tcPr>
          <w:p>
            <w:pPr>
              <w:pStyle w:val="BodyText"/>
              <w:keepNext w:val="0"/>
              <w:spacing w:after="80" w:line="252" w:lineRule="auto"/>
              <w:jc w:val="left"/>
            </w:pPr>
            <w:r>
              <w:rPr>
                <w:rFonts w:ascii="Calibri" w:hAnsi="Calibri"/>
                <w:sz w:val="17"/>
              </w:rPr>
              <w:t xml:space="preserve">Hᵥ(x,q,m)</w:t>
            </w:r>
          </w:p>
        </w:tc>
        <w:tc>
          <w:tcPr>
            <w:tcW w:type="dxa" w:w="3312"/>
          </w:tcPr>
          <w:p>
            <w:pPr>
              <w:pStyle w:val="BodyText"/>
              <w:keepNext w:val="0"/>
              <w:spacing w:after="80" w:line="252" w:lineRule="auto"/>
              <w:jc w:val="left"/>
            </w:pPr>
            <w:r>
              <w:rPr>
                <w:rFonts w:ascii="Calibri" w:hAnsi="Calibri"/>
                <w:sz w:val="17"/>
              </w:rPr>
              <w:t xml:space="preserve">Qualitative realization</w:t>
            </w:r>
          </w:p>
        </w:tc>
        <w:tc>
          <w:tcPr>
            <w:tcW w:type="dxa" w:w="3312"/>
          </w:tcPr>
          <w:p>
            <w:pPr>
              <w:pStyle w:val="BodyText"/>
              <w:keepNext w:val="0"/>
              <w:spacing w:after="80" w:line="252" w:lineRule="auto"/>
              <w:jc w:val="left"/>
            </w:pPr>
            <w:r>
              <w:rPr>
                <w:rFonts w:ascii="Calibri" w:hAnsi="Calibri"/>
                <w:sz w:val="17"/>
              </w:rPr>
              <w:t xml:space="preserve">x really possesses a candidate positive perfection-content q in mode m. Selecting that content requires independent warrant; a complete finite-kind description is not automatically a pure perfection. Corresponding content does not mean a shared entity or genus.</w:t>
            </w:r>
          </w:p>
        </w:tc>
      </w:tr>
      <w:tr>
        <w:tc>
          <w:tcPr>
            <w:tcW w:type="dxa" w:w="3312"/>
          </w:tcPr>
          <w:p>
            <w:pPr>
              <w:pStyle w:val="BodyText"/>
              <w:keepNext w:val="0"/>
              <w:spacing w:after="80" w:line="252" w:lineRule="auto"/>
              <w:jc w:val="left"/>
            </w:pPr>
            <w:r>
              <w:rPr>
                <w:rFonts w:ascii="Calibri" w:hAnsi="Calibri"/>
                <w:sz w:val="17"/>
              </w:rPr>
              <w:t xml:space="preserve">Kᵥ(z,x)</w:t>
            </w:r>
          </w:p>
        </w:tc>
        <w:tc>
          <w:tcPr>
            <w:tcW w:type="dxa" w:w="3312"/>
          </w:tcPr>
          <w:p>
            <w:pPr>
              <w:pStyle w:val="BodyText"/>
              <w:keepNext w:val="0"/>
              <w:spacing w:after="80" w:line="252" w:lineRule="auto"/>
              <w:jc w:val="left"/>
            </w:pPr>
            <w:r>
              <w:rPr>
                <w:rFonts w:ascii="Calibri" w:hAnsi="Calibri"/>
                <w:sz w:val="17"/>
              </w:rPr>
              <w:t xml:space="preserve">Intrinsic constituency</w:t>
            </w:r>
          </w:p>
        </w:tc>
        <w:tc>
          <w:tcPr>
            <w:tcW w:type="dxa" w:w="3312"/>
          </w:tcPr>
          <w:p>
            <w:pPr>
              <w:pStyle w:val="BodyText"/>
              <w:keepNext w:val="0"/>
              <w:spacing w:after="80" w:line="252" w:lineRule="auto"/>
              <w:jc w:val="left"/>
            </w:pPr>
            <w:r>
              <w:rPr>
                <w:rFonts w:ascii="Calibri" w:hAnsi="Calibri"/>
                <w:sz w:val="17"/>
              </w:rPr>
              <w:t xml:space="preserve">z is a proper part or constituting principle within x. This distinguishes what x consists of from what causes it.</w:t>
            </w:r>
          </w:p>
        </w:tc>
      </w:tr>
      <w:tr>
        <w:tc>
          <w:tcPr>
            <w:tcW w:type="dxa" w:w="3312"/>
          </w:tcPr>
          <w:p>
            <w:pPr>
              <w:pStyle w:val="BodyText"/>
              <w:keepNext w:val="0"/>
              <w:spacing w:after="80" w:line="252" w:lineRule="auto"/>
              <w:jc w:val="left"/>
            </w:pPr>
            <w:r>
              <w:rPr>
                <w:rFonts w:ascii="Calibri" w:hAnsi="Calibri"/>
                <w:sz w:val="17"/>
              </w:rPr>
              <w:t xml:space="preserve">Jᵥ(x)</w:t>
            </w:r>
          </w:p>
        </w:tc>
        <w:tc>
          <w:tcPr>
            <w:tcW w:type="dxa" w:w="3312"/>
          </w:tcPr>
          <w:p>
            <w:pPr>
              <w:pStyle w:val="BodyText"/>
              <w:keepNext w:val="0"/>
              <w:spacing w:after="80" w:line="252" w:lineRule="auto"/>
              <w:jc w:val="left"/>
            </w:pPr>
            <w:r>
              <w:rPr>
                <w:rFonts w:ascii="Calibri" w:hAnsi="Calibri"/>
                <w:sz w:val="17"/>
              </w:rPr>
              <w:t xml:space="preserve">Intrinsic actuality</w:t>
            </w:r>
          </w:p>
        </w:tc>
        <w:tc>
          <w:tcPr>
            <w:tcW w:type="dxa" w:w="3312"/>
          </w:tcPr>
          <w:p>
            <w:pPr>
              <w:pStyle w:val="BodyText"/>
              <w:keepNext w:val="0"/>
              <w:spacing w:after="80" w:line="252" w:lineRule="auto"/>
              <w:jc w:val="left"/>
            </w:pPr>
            <w:r>
              <w:rPr>
                <w:rFonts w:ascii="Calibri" w:hAnsi="Calibri"/>
                <w:sz w:val="17"/>
              </w:rPr>
              <w:t xml:space="preserve">What x is in itself in possible situation w. This lets us ask whether different effects require a change within their source.</w:t>
            </w:r>
          </w:p>
        </w:tc>
      </w:tr>
    </w:tbl>
    <w:p>
      <w:pPr>
        <w:pStyle w:val="BodyText"/>
      </w:pPr>
      <w:r>
        <w:t xml:space="preserve">Actuality is semantically primitive in real realization H, rather than an extra independently irreducible A. Define A(x) as ∃m H(x,e,m), where e indexes existential actuality. Define μₑ(x) as its complete mode. J records intrinsic facts not assumed exhausted by the selected H/K facts; if those were made exhaustive, J could be eliminated. Consequently five is a proposed operational vocabulary, not a demonstrated lower bound.</w:t>
      </w:r>
    </w:p>
    <w:p>
      <w:pPr>
        <w:pStyle w:val="BodyText"/>
      </w:pPr>
      <w:r>
        <w:t xml:space="preserve">Identity, typed quantification, world indexing, qualitative indices, and a mode order are also needed. C and D are factive; every H-bearer is actual; modes are functional per subject/respect; proper K is actual, irreflexive, and transitive. Bounded modes lie below ∞. These substantive background assumptions are disclosed. ∞ signifies no finite upper bound, not a quantity of divine substance.</w:t>
      </w:r>
    </w:p>
    <w:p>
      <w:pPr>
        <w:pStyle w:val="BodyText"/>
      </w:pPr>
      <w:r>
        <w:t xml:space="preserve">The system is conditional on actual source g and scopes entities to created beings/principles and their proposed source. It does not treat divine hypostases as extra created beings or adjudicate Trinity, incarnation, or grace. The system neither proves source existence nor derives its necessity.</w:t>
      </w:r>
    </w:p>
    <w:p>
      <w:pPr>
        <w:pStyle w:val="BodyText"/>
      </w:pPr>
      <w:r>
        <w:t xml:space="preserve">Qualitative q is a semantic index, not an independent Form. Its positive content must be independently warranted. A candidate criterion is that the content does not entail deficiency or a finite constitutive mode: knowing as opposed to acquiring information discursively, actuality as opposed to being-created. This criterion needs case-by-case argument;</w:t>
      </w:r>
      <w:r>
        <w:t xml:space="preserve"> </w:t>
      </w:r>
      <w:r>
        <w:t xml:space="preserve">“</w:t>
      </w:r>
      <w:r>
        <w:t xml:space="preserve">whatever God causes</w:t>
      </w:r>
      <w:r>
        <w:t xml:space="preserve">”</w:t>
      </w:r>
      <w:r>
        <w:t xml:space="preserve"> </w:t>
      </w:r>
      <w:r>
        <w:t xml:space="preserve">is not an admissible definition. Some finite conditions constitute genuine particular goods: succession belongs to melody, and a history belongs to keeping a promise. Q therefore concerns a defended positive perfection-content, not the wholesale transfer of every complete finite-kind description into God. Biological life and divine life cannot be equated by using one symbol. H-source interpretation must not mean merely</w:t>
      </w:r>
      <w:r>
        <w:t xml:space="preserve"> </w:t>
      </w:r>
      <w:r>
        <w:t xml:space="preserve">“</w:t>
      </w:r>
      <w:r>
        <w:t xml:space="preserve">able to cause H.</w:t>
      </w:r>
      <w:r>
        <w:t xml:space="preserve">”</w:t>
      </w:r>
    </w:p>
    <w:bookmarkEnd w:id="317"/>
    <w:bookmarkStart w:id="318" w:name="independent-clauses-and-bridges"/>
    <w:p>
      <w:pPr>
        <w:pStyle w:val="Heading3"/>
      </w:pPr>
      <w:r>
        <w:t xml:space="preserve">2. Independent clauses and bridges</w:t>
      </w:r>
    </w:p>
    <w:tbl>
      <w:tblPr>
        <w:tblStyle w:val="TableGrid"/>
        <w:tblW w:type="dxa" w:w="9936"/>
        <w:jc w:val="left"/>
        <w:tblLayout w:type="fixed"/>
        <w:tblLook w:firstRow="1" w:lastRow="0" w:firstColumn="0" w:lastColumn="0" w:noHBand="0" w:noVBand="0" w:val="0020"/>
      </w:tblPr>
      <w:tblGrid>
        <w:gridCol w:w="3312"/>
        <w:gridCol w:w="3312"/>
        <w:gridCol w:w="3312"/>
      </w:tblGrid>
      <w:tr>
        <w:trPr>
          <w:tblHeader w:val="true"/>
        </w:trPr>
        <w:tc>
          <w:tcPr>
            <w:tcW w:type="dxa" w:w="3312"/>
            <w:shd w:fill="EAE5DA"/>
          </w:tcPr>
          <w:p>
            <w:pPr>
              <w:pStyle w:val="BodyText"/>
              <w:keepNext w:val="0"/>
              <w:spacing w:after="80" w:line="252" w:lineRule="auto"/>
              <w:jc w:val="left"/>
            </w:pPr>
            <w:r>
              <w:rPr>
                <w:rFonts w:ascii="Calibri" w:hAnsi="Calibri"/>
                <w:b/>
                <w:sz w:val="17"/>
              </w:rPr>
              <w:t xml:space="preserve">Clause</w:t>
            </w:r>
          </w:p>
        </w:tc>
        <w:tc>
          <w:tcPr>
            <w:tcW w:type="dxa" w:w="3312"/>
            <w:shd w:fill="EAE5DA"/>
          </w:tcPr>
          <w:p>
            <w:pPr>
              <w:pStyle w:val="BodyText"/>
              <w:keepNext w:val="0"/>
              <w:spacing w:after="80" w:line="252" w:lineRule="auto"/>
              <w:jc w:val="left"/>
            </w:pPr>
            <w:r>
              <w:rPr>
                <w:rFonts w:ascii="Calibri" w:hAnsi="Calibri"/>
                <w:b/>
                <w:sz w:val="17"/>
              </w:rPr>
              <w:t xml:space="preserve">Statement</w:t>
            </w:r>
          </w:p>
        </w:tc>
        <w:tc>
          <w:tcPr>
            <w:tcW w:type="dxa" w:w="3312"/>
            <w:shd w:fill="EAE5DA"/>
          </w:tcPr>
          <w:p>
            <w:pPr>
              <w:pStyle w:val="BodyText"/>
              <w:keepNext w:val="0"/>
              <w:spacing w:after="80" w:line="252" w:lineRule="auto"/>
              <w:jc w:val="left"/>
            </w:pPr>
            <w:r>
              <w:rPr>
                <w:rFonts w:ascii="Calibri" w:hAnsi="Calibri"/>
                <w:b/>
                <w:sz w:val="17"/>
              </w:rPr>
              <w:t xml:space="preserve">Formal form</w:t>
            </w:r>
          </w:p>
        </w:tc>
      </w:tr>
      <w:tr>
        <w:tc>
          <w:tcPr>
            <w:tcW w:type="dxa" w:w="3312"/>
          </w:tcPr>
          <w:p>
            <w:pPr>
              <w:pStyle w:val="BodyText"/>
              <w:keepNext w:val="0"/>
              <w:spacing w:after="80" w:line="252" w:lineRule="auto"/>
              <w:jc w:val="left"/>
            </w:pPr>
            <w:r>
              <w:rPr>
                <w:rFonts w:ascii="Calibri" w:hAnsi="Calibri"/>
                <w:sz w:val="17"/>
              </w:rPr>
              <w:t xml:space="preserve">G — Universal sustaining causality</w:t>
            </w:r>
          </w:p>
        </w:tc>
        <w:tc>
          <w:tcPr>
            <w:tcW w:type="dxa" w:w="3312"/>
          </w:tcPr>
          <w:p>
            <w:pPr>
              <w:pStyle w:val="BodyText"/>
              <w:keepNext w:val="0"/>
              <w:spacing w:after="80" w:line="252" w:lineRule="auto"/>
              <w:jc w:val="left"/>
            </w:pPr>
            <w:r>
              <w:rPr>
                <w:rFonts w:ascii="Calibri" w:hAnsi="Calibri"/>
                <w:sz w:val="17"/>
              </w:rPr>
              <w:t xml:space="preserve">The designated source g presently causes or sustains every other actual being and its positive perfections. This includes sustaining each creature’s existence.</w:t>
            </w:r>
          </w:p>
        </w:tc>
        <w:tc>
          <w:tcPr>
            <w:tcW w:type="dxa" w:w="3312"/>
          </w:tcPr>
          <w:p>
            <w:pPr>
              <w:pStyle w:val="BodyText"/>
              <w:keepNext w:val="0"/>
              <w:spacing w:after="80" w:line="252" w:lineRule="auto"/>
              <w:jc w:val="left"/>
            </w:pPr>
            <w:r>
              <w:rPr>
                <w:rFonts w:ascii="Calibri" w:hAnsi="Calibri"/>
                <w:sz w:val="17"/>
              </w:rPr>
              <w:t xml:space="preserve">A(x) ∧ x ≠ g ∧ H(x,q,m) ⇒ C(g,x,q)</w:t>
            </w:r>
          </w:p>
        </w:tc>
      </w:tr>
      <w:tr>
        <w:tc>
          <w:tcPr>
            <w:tcW w:type="dxa" w:w="3312"/>
          </w:tcPr>
          <w:p>
            <w:pPr>
              <w:pStyle w:val="BodyText"/>
              <w:keepNext w:val="0"/>
              <w:spacing w:after="80" w:line="252" w:lineRule="auto"/>
              <w:jc w:val="left"/>
            </w:pPr>
            <w:r>
              <w:rPr>
                <w:rFonts w:ascii="Calibri" w:hAnsi="Calibri"/>
                <w:sz w:val="17"/>
              </w:rPr>
              <w:t xml:space="preserve">CP — Causal dependence</w:t>
            </w:r>
          </w:p>
        </w:tc>
        <w:tc>
          <w:tcPr>
            <w:tcW w:type="dxa" w:w="3312"/>
          </w:tcPr>
          <w:p>
            <w:pPr>
              <w:pStyle w:val="BodyText"/>
              <w:keepNext w:val="0"/>
              <w:spacing w:after="80" w:line="252" w:lineRule="auto"/>
              <w:jc w:val="left"/>
            </w:pPr>
            <w:r>
              <w:rPr>
                <w:rFonts w:ascii="Calibri" w:hAnsi="Calibri"/>
                <w:sz w:val="17"/>
              </w:rPr>
              <w:t xml:space="preserve">Productive or sustaining causation grounds an effect’s actuality in the relevant respect. This bridge is not silently packed into the word</w:t>
            </w:r>
            <w:r>
              <w:rPr>
                <w:rFonts w:ascii="Calibri" w:hAnsi="Calibri"/>
                <w:sz w:val="17"/>
              </w:rPr>
              <w:t xml:space="preserve"> </w:t>
            </w:r>
            <w:r>
              <w:rPr>
                <w:rFonts w:ascii="Calibri" w:hAnsi="Calibri"/>
                <w:sz w:val="17"/>
              </w:rPr>
              <w:t xml:space="preserve">“</w:t>
            </w:r>
            <w:r>
              <w:rPr>
                <w:rFonts w:ascii="Calibri" w:hAnsi="Calibri"/>
                <w:sz w:val="17"/>
              </w:rPr>
              <w:t xml:space="preserve">cause.</w:t>
            </w:r>
            <w:r>
              <w:rPr>
                <w:rFonts w:ascii="Calibri" w:hAnsi="Calibri"/>
                <w:sz w:val="17"/>
              </w:rPr>
              <w:t xml:space="preserve">”</w:t>
            </w:r>
          </w:p>
        </w:tc>
        <w:tc>
          <w:tcPr>
            <w:tcW w:type="dxa" w:w="3312"/>
          </w:tcPr>
          <w:p>
            <w:pPr>
              <w:pStyle w:val="BodyText"/>
              <w:keepNext w:val="0"/>
              <w:spacing w:after="80" w:line="252" w:lineRule="auto"/>
              <w:jc w:val="left"/>
            </w:pPr>
            <w:r>
              <w:rPr>
                <w:rFonts w:ascii="Calibri" w:hAnsi="Calibri"/>
                <w:sz w:val="17"/>
              </w:rPr>
              <w:t xml:space="preserve">C(y,x,q) ⇒ D(x,y,q)</w:t>
            </w:r>
          </w:p>
        </w:tc>
      </w:tr>
      <w:tr>
        <w:tc>
          <w:tcPr>
            <w:tcW w:type="dxa" w:w="3312"/>
          </w:tcPr>
          <w:p>
            <w:pPr>
              <w:pStyle w:val="BodyText"/>
              <w:keepNext w:val="0"/>
              <w:spacing w:after="80" w:line="252" w:lineRule="auto"/>
              <w:jc w:val="left"/>
            </w:pPr>
            <w:r>
              <w:rPr>
                <w:rFonts w:ascii="Calibri" w:hAnsi="Calibri"/>
                <w:sz w:val="17"/>
              </w:rPr>
              <w:t xml:space="preserve">U — The source depends on nothing</w:t>
            </w:r>
          </w:p>
        </w:tc>
        <w:tc>
          <w:tcPr>
            <w:tcW w:type="dxa" w:w="3312"/>
          </w:tcPr>
          <w:p>
            <w:pPr>
              <w:pStyle w:val="BodyText"/>
              <w:keepNext w:val="0"/>
              <w:spacing w:after="80" w:line="252" w:lineRule="auto"/>
              <w:jc w:val="left"/>
            </w:pPr>
            <w:r>
              <w:rPr>
                <w:rFonts w:ascii="Calibri" w:hAnsi="Calibri"/>
                <w:sz w:val="17"/>
              </w:rPr>
              <w:t xml:space="preserve">The designated source receives none of the actuality or perfection by which it is actual. This does not by itself say that it is infinite, simple, or existent.</w:t>
            </w:r>
          </w:p>
        </w:tc>
        <w:tc>
          <w:tcPr>
            <w:tcW w:type="dxa" w:w="3312"/>
          </w:tcPr>
          <w:p>
            <w:pPr>
              <w:pStyle w:val="BodyText"/>
              <w:keepNext w:val="0"/>
              <w:spacing w:after="80" w:line="252" w:lineRule="auto"/>
              <w:jc w:val="left"/>
            </w:pPr>
            <w:r>
              <w:rPr>
                <w:rFonts w:ascii="Calibri" w:hAnsi="Calibri"/>
                <w:sz w:val="17"/>
              </w:rPr>
              <w:t xml:space="preserve">¬∃y,r D(g,y,r)</w:t>
            </w:r>
          </w:p>
        </w:tc>
      </w:tr>
      <w:tr>
        <w:tc>
          <w:tcPr>
            <w:tcW w:type="dxa" w:w="3312"/>
          </w:tcPr>
          <w:p>
            <w:pPr>
              <w:pStyle w:val="BodyText"/>
              <w:keepNext w:val="0"/>
              <w:spacing w:after="80" w:line="252" w:lineRule="auto"/>
              <w:jc w:val="left"/>
            </w:pPr>
            <w:r>
              <w:rPr>
                <w:rFonts w:ascii="Calibri" w:hAnsi="Calibri"/>
                <w:sz w:val="17"/>
              </w:rPr>
              <w:t xml:space="preserve">Q — Causal adequacy of the ultimate source</w:t>
            </w:r>
          </w:p>
        </w:tc>
        <w:tc>
          <w:tcPr>
            <w:tcW w:type="dxa" w:w="3312"/>
          </w:tcPr>
          <w:p>
            <w:pPr>
              <w:pStyle w:val="BodyText"/>
              <w:keepNext w:val="0"/>
              <w:spacing w:after="80" w:line="252" w:lineRule="auto"/>
              <w:jc w:val="left"/>
            </w:pPr>
            <w:r>
              <w:rPr>
                <w:rFonts w:ascii="Calibri" w:hAnsi="Calibri"/>
                <w:sz w:val="17"/>
              </w:rPr>
              <w:t xml:space="preserve">An independently identified positive perfection-content caused by the ultimate source has corresponding content in that source, under a potentially different mode. Both the selection of q and this possession bridge need argument. A complete finite-kind description is not transferred wholesale: causing learning does not imply learning. The principle does not apply to every instrumental cause, and must mean more than</w:t>
            </w:r>
            <w:r>
              <w:rPr>
                <w:rFonts w:ascii="Calibri" w:hAnsi="Calibri"/>
                <w:sz w:val="17"/>
              </w:rPr>
              <w:t xml:space="preserve"> </w:t>
            </w:r>
            <w:r>
              <w:rPr>
                <w:rFonts w:ascii="Calibri" w:hAnsi="Calibri"/>
                <w:sz w:val="17"/>
              </w:rPr>
              <w:t xml:space="preserve">“</w:t>
            </w:r>
            <w:r>
              <w:rPr>
                <w:rFonts w:ascii="Calibri" w:hAnsi="Calibri"/>
                <w:sz w:val="17"/>
              </w:rPr>
              <w:t xml:space="preserve">can cause q.</w:t>
            </w:r>
            <w:r>
              <w:rPr>
                <w:rFonts w:ascii="Calibri" w:hAnsi="Calibri"/>
                <w:sz w:val="17"/>
              </w:rPr>
              <w:t xml:space="preserve">”</w:t>
            </w:r>
          </w:p>
        </w:tc>
        <w:tc>
          <w:tcPr>
            <w:tcW w:type="dxa" w:w="3312"/>
          </w:tcPr>
          <w:p>
            <w:pPr>
              <w:pStyle w:val="BodyText"/>
              <w:keepNext w:val="0"/>
              <w:spacing w:after="80" w:line="252" w:lineRule="auto"/>
              <w:jc w:val="left"/>
            </w:pPr>
            <w:r>
              <w:rPr>
                <w:rFonts w:ascii="Calibri" w:hAnsi="Calibri"/>
                <w:sz w:val="17"/>
              </w:rPr>
              <w:t xml:space="preserve">C(g,x,q) ∧ H(x,q,m) ⇒ ∃n H(g,q,n)</w:t>
            </w:r>
          </w:p>
        </w:tc>
      </w:tr>
      <w:tr>
        <w:tc>
          <w:tcPr>
            <w:tcW w:type="dxa" w:w="3312"/>
          </w:tcPr>
          <w:p>
            <w:pPr>
              <w:pStyle w:val="BodyText"/>
              <w:keepNext w:val="0"/>
              <w:spacing w:after="80" w:line="252" w:lineRule="auto"/>
              <w:jc w:val="left"/>
            </w:pPr>
            <w:r>
              <w:rPr>
                <w:rFonts w:ascii="Calibri" w:hAnsi="Calibri"/>
                <w:sz w:val="17"/>
              </w:rPr>
              <w:t xml:space="preserve">KD — Composition entails dependence</w:t>
            </w:r>
          </w:p>
        </w:tc>
        <w:tc>
          <w:tcPr>
            <w:tcW w:type="dxa" w:w="3312"/>
          </w:tcPr>
          <w:p>
            <w:pPr>
              <w:pStyle w:val="BodyText"/>
              <w:keepNext w:val="0"/>
              <w:spacing w:after="80" w:line="252" w:lineRule="auto"/>
              <w:jc w:val="left"/>
            </w:pPr>
            <w:r>
              <w:rPr>
                <w:rFonts w:ascii="Calibri" w:hAnsi="Calibri"/>
                <w:sz w:val="17"/>
              </w:rPr>
              <w:t xml:space="preserve">A composite’s actuality depends upon its proper intrinsic constituents. Underivation plus this principle excludes composition of the source.</w:t>
            </w:r>
          </w:p>
        </w:tc>
        <w:tc>
          <w:tcPr>
            <w:tcW w:type="dxa" w:w="3312"/>
          </w:tcPr>
          <w:p>
            <w:pPr>
              <w:pStyle w:val="BodyText"/>
              <w:keepNext w:val="0"/>
              <w:spacing w:after="80" w:line="252" w:lineRule="auto"/>
              <w:jc w:val="left"/>
            </w:pPr>
            <w:r>
              <w:rPr>
                <w:rFonts w:ascii="Calibri" w:hAnsi="Calibri"/>
                <w:sz w:val="17"/>
              </w:rPr>
              <w:t xml:space="preserve">K(z,x) ⇒ D(x,z,e)</w:t>
            </w:r>
          </w:p>
        </w:tc>
      </w:tr>
      <w:tr>
        <w:tc>
          <w:tcPr>
            <w:tcW w:type="dxa" w:w="3312"/>
          </w:tcPr>
          <w:p>
            <w:pPr>
              <w:pStyle w:val="BodyText"/>
              <w:keepNext w:val="0"/>
              <w:spacing w:after="80" w:line="252" w:lineRule="auto"/>
              <w:jc w:val="left"/>
            </w:pPr>
            <w:r>
              <w:rPr>
                <w:rFonts w:ascii="Calibri" w:hAnsi="Calibri"/>
                <w:sz w:val="17"/>
              </w:rPr>
              <w:t xml:space="preserve">KH — Constituents do not exceed the whole</w:t>
            </w:r>
          </w:p>
        </w:tc>
        <w:tc>
          <w:tcPr>
            <w:tcW w:type="dxa" w:w="3312"/>
          </w:tcPr>
          <w:p>
            <w:pPr>
              <w:pStyle w:val="BodyText"/>
              <w:keepNext w:val="0"/>
              <w:spacing w:after="80" w:line="252" w:lineRule="auto"/>
              <w:jc w:val="left"/>
            </w:pPr>
            <w:r>
              <w:rPr>
                <w:rFonts w:ascii="Calibri" w:hAnsi="Calibri"/>
                <w:sz w:val="17"/>
              </w:rPr>
              <w:t xml:space="preserve">An intrinsic constituent cannot exceed the whole containing it in the relevant capacity for actuality. This goes beyond a theory of parts and wholes and must be defended independently.</w:t>
            </w:r>
          </w:p>
        </w:tc>
        <w:tc>
          <w:tcPr>
            <w:tcW w:type="dxa" w:w="3312"/>
          </w:tcPr>
          <w:p>
            <w:pPr>
              <w:pStyle w:val="BodyText"/>
              <w:keepNext w:val="0"/>
              <w:spacing w:after="80" w:line="252" w:lineRule="auto"/>
              <w:jc w:val="left"/>
            </w:pPr>
            <w:r>
              <w:rPr>
                <w:rFonts w:ascii="Calibri" w:hAnsi="Calibri"/>
                <w:sz w:val="17"/>
              </w:rPr>
              <w:t xml:space="preserve">K(z,x) ⇒ μₑ(z) ≤ μₑ(x)</w:t>
            </w:r>
          </w:p>
        </w:tc>
      </w:tr>
      <w:tr>
        <w:tc>
          <w:tcPr>
            <w:tcW w:type="dxa" w:w="3312"/>
          </w:tcPr>
          <w:p>
            <w:pPr>
              <w:pStyle w:val="BodyText"/>
              <w:keepNext w:val="0"/>
              <w:spacing w:after="80" w:line="252" w:lineRule="auto"/>
              <w:jc w:val="left"/>
            </w:pPr>
            <w:r>
              <w:rPr>
                <w:rFonts w:ascii="Calibri" w:hAnsi="Calibri"/>
                <w:sz w:val="17"/>
              </w:rPr>
              <w:t xml:space="preserve">FS — Unbounded source actuality</w:t>
            </w:r>
          </w:p>
        </w:tc>
        <w:tc>
          <w:tcPr>
            <w:tcW w:type="dxa" w:w="3312"/>
          </w:tcPr>
          <w:p>
            <w:pPr>
              <w:pStyle w:val="BodyText"/>
              <w:keepNext w:val="0"/>
              <w:spacing w:after="80" w:line="252" w:lineRule="auto"/>
              <w:jc w:val="left"/>
            </w:pPr>
            <w:r>
              <w:rPr>
                <w:rFonts w:ascii="Calibri" w:hAnsi="Calibri"/>
                <w:sz w:val="17"/>
              </w:rPr>
              <w:t xml:space="preserve">The source is unlimited in actuality. Underivation does not prove this. Unlimitedness in another perfection requires its own argument; adequacy alone supplies corresponding content, not an infinite degree.</w:t>
            </w:r>
          </w:p>
        </w:tc>
        <w:tc>
          <w:tcPr>
            <w:tcW w:type="dxa" w:w="3312"/>
          </w:tcPr>
          <w:p>
            <w:pPr>
              <w:pStyle w:val="BodyText"/>
              <w:keepNext w:val="0"/>
              <w:spacing w:after="80" w:line="252" w:lineRule="auto"/>
              <w:jc w:val="left"/>
            </w:pPr>
            <w:r>
              <w:rPr>
                <w:rFonts w:ascii="Calibri" w:hAnsi="Calibri"/>
                <w:sz w:val="17"/>
              </w:rPr>
              <w:t xml:space="preserve">μₑ(g) = ∞</w:t>
            </w:r>
          </w:p>
        </w:tc>
      </w:tr>
      <w:tr>
        <w:tc>
          <w:tcPr>
            <w:tcW w:type="dxa" w:w="3312"/>
          </w:tcPr>
          <w:p>
            <w:pPr>
              <w:pStyle w:val="BodyText"/>
              <w:keepNext w:val="0"/>
              <w:spacing w:after="80" w:line="252" w:lineRule="auto"/>
              <w:jc w:val="left"/>
            </w:pPr>
            <w:r>
              <w:rPr>
                <w:rFonts w:ascii="Calibri" w:hAnsi="Calibri"/>
                <w:sz w:val="17"/>
              </w:rPr>
              <w:t xml:space="preserve">FC — Bounded created actuality</w:t>
            </w:r>
          </w:p>
        </w:tc>
        <w:tc>
          <w:tcPr>
            <w:tcW w:type="dxa" w:w="3312"/>
          </w:tcPr>
          <w:p>
            <w:pPr>
              <w:pStyle w:val="BodyText"/>
              <w:keepNext w:val="0"/>
              <w:spacing w:after="80" w:line="252" w:lineRule="auto"/>
              <w:jc w:val="left"/>
            </w:pPr>
            <w:r>
              <w:rPr>
                <w:rFonts w:ascii="Calibri" w:hAnsi="Calibri"/>
                <w:sz w:val="17"/>
              </w:rPr>
              <w:t xml:space="preserve">Every actual other has a bounded mode of actuality. This is not a restriction on the source.</w:t>
            </w:r>
            <w:r>
              <w:rPr>
                <w:rFonts w:ascii="Calibri" w:hAnsi="Calibri"/>
                <w:sz w:val="17"/>
              </w:rPr>
              <w:t xml:space="preserve"> </w:t>
            </w:r>
            <w:r>
              <w:rPr>
                <w:rFonts w:ascii="Calibri" w:hAnsi="Calibri"/>
                <w:sz w:val="17"/>
              </w:rPr>
              <w:t xml:space="preserve">“</w:t>
            </w:r>
            <w:r>
              <w:rPr>
                <w:rFonts w:ascii="Calibri" w:hAnsi="Calibri"/>
                <w:sz w:val="17"/>
              </w:rPr>
              <w:t xml:space="preserve">Bounded</w:t>
            </w:r>
            <w:r>
              <w:rPr>
                <w:rFonts w:ascii="Calibri" w:hAnsi="Calibri"/>
                <w:sz w:val="17"/>
              </w:rPr>
              <w:t xml:space="preserve">”</w:t>
            </w:r>
            <w:r>
              <w:rPr>
                <w:rFonts w:ascii="Calibri" w:hAnsi="Calibri"/>
                <w:sz w:val="17"/>
              </w:rPr>
              <w:t xml:space="preserve"> </w:t>
            </w:r>
            <w:r>
              <w:rPr>
                <w:rFonts w:ascii="Calibri" w:hAnsi="Calibri"/>
                <w:sz w:val="17"/>
              </w:rPr>
              <w:t xml:space="preserve">is not a reduction of all perfections to a numerical quantity.</w:t>
            </w:r>
          </w:p>
        </w:tc>
        <w:tc>
          <w:tcPr>
            <w:tcW w:type="dxa" w:w="3312"/>
          </w:tcPr>
          <w:p>
            <w:pPr>
              <w:pStyle w:val="BodyText"/>
              <w:keepNext w:val="0"/>
              <w:spacing w:after="80" w:line="252" w:lineRule="auto"/>
              <w:jc w:val="left"/>
            </w:pPr>
            <w:r>
              <w:rPr>
                <w:rFonts w:ascii="Calibri" w:hAnsi="Calibri"/>
                <w:sz w:val="17"/>
              </w:rPr>
              <w:t xml:space="preserve">A(x) ∧ x ≠ g ⇒ μₑ(x) &lt; ∞</w:t>
            </w:r>
          </w:p>
        </w:tc>
      </w:tr>
      <w:tr>
        <w:tc>
          <w:tcPr>
            <w:tcW w:type="dxa" w:w="3312"/>
          </w:tcPr>
          <w:p>
            <w:pPr>
              <w:pStyle w:val="BodyText"/>
              <w:keepNext w:val="0"/>
              <w:spacing w:after="80" w:line="252" w:lineRule="auto"/>
              <w:jc w:val="left"/>
            </w:pPr>
            <w:r>
              <w:rPr>
                <w:rFonts w:ascii="Calibri" w:hAnsi="Calibri"/>
                <w:sz w:val="17"/>
              </w:rPr>
              <w:t xml:space="preserve">X — Unchanged source across creation alternatives</w:t>
            </w:r>
          </w:p>
        </w:tc>
        <w:tc>
          <w:tcPr>
            <w:tcW w:type="dxa" w:w="3312"/>
          </w:tcPr>
          <w:p>
            <w:pPr>
              <w:pStyle w:val="BodyText"/>
              <w:keepNext w:val="0"/>
              <w:spacing w:after="80" w:line="252" w:lineRule="auto"/>
              <w:jc w:val="left"/>
            </w:pPr>
            <w:r>
              <w:rPr>
                <w:rFonts w:ascii="Calibri" w:hAnsi="Calibri"/>
                <w:sz w:val="17"/>
              </w:rPr>
              <w:t xml:space="preserve">Differences in created effects do not constitute differences or gains in the source’s intrinsic actuality. Underivation at each world does not alone prove this comparison across worlds.</w:t>
            </w:r>
          </w:p>
        </w:tc>
        <w:tc>
          <w:tcPr>
            <w:tcW w:type="dxa" w:w="3312"/>
          </w:tcPr>
          <w:p>
            <w:pPr>
              <w:pStyle w:val="BodyText"/>
              <w:keepNext w:val="0"/>
              <w:spacing w:after="80" w:line="252" w:lineRule="auto"/>
              <w:jc w:val="left"/>
            </w:pPr>
            <w:r>
              <w:rPr>
                <w:rFonts w:ascii="Calibri" w:hAnsi="Calibri"/>
                <w:sz w:val="17"/>
              </w:rPr>
              <w:t xml:space="preserve">Jᵥ(g) = Jᵥ′(g) for admissible creation alternatives</w:t>
            </w:r>
          </w:p>
        </w:tc>
      </w:tr>
    </w:tbl>
    <w:p>
      <w:pPr>
        <w:pStyle w:val="BodyText"/>
      </w:pPr>
      <w:r>
        <w:t xml:space="preserve">G, U, FS, and FC are a conditional source profile, not consequences of generic participation. CP, Q, KD, and KH bridge independently interpreted categories. X compares intrinsic actuality across different possible created outcomes. Q is restricted to the ultimate source; an instrument need not exhibit every quality of what it helps produce. FS/FC concern actuality e; any perfection-specific non-exhaustion theorem requires corresponding assumptions in that same q.</w:t>
      </w:r>
    </w:p>
    <w:p>
      <w:pPr>
        <w:pStyle w:val="BodyText"/>
      </w:pPr>
      <w:r>
        <w:t xml:space="preserve">Global asymmetry was deleted: source-directed dependence is already asymmetric under CP + U. It would overconstrain unrelated creaturely relationships without contributing to this target.</w:t>
      </w:r>
    </w:p>
    <w:bookmarkEnd w:id="318"/>
    <w:bookmarkStart w:id="319" w:name="nonprimitive-terms"/>
    <w:p>
      <w:pPr>
        <w:pStyle w:val="Heading3"/>
      </w:pPr>
      <w:r>
        <w:t xml:space="preserve">3. Nonprimitive terms</w:t>
      </w:r>
    </w:p>
    <w:p>
      <w:pPr>
        <w:pStyle w:val="Compact"/>
        <w:numPr>
          <w:ilvl w:val="0"/>
          <w:numId w:val="1005"/>
        </w:numPr>
      </w:pPr>
      <w:r>
        <w:rPr>
          <w:b/>
          <w:bCs/>
        </w:rPr>
        <w:t xml:space="preserve">Reception:</w:t>
      </w:r>
      <w:r>
        <w:t xml:space="preserve"> </w:t>
      </w:r>
      <w:r>
        <w:t xml:space="preserve">Rec(x,q,g) := C(g,x,q) ∧ ∃m H(x,q,m). No likeness, finitude, or nonpartition is stipulated.</w:t>
      </w:r>
    </w:p>
    <w:p>
      <w:pPr>
        <w:pStyle w:val="Compact"/>
        <w:numPr>
          <w:ilvl w:val="0"/>
          <w:numId w:val="1005"/>
        </w:numPr>
      </w:pPr>
      <w:r>
        <w:rPr>
          <w:b/>
          <w:bCs/>
        </w:rPr>
        <w:t xml:space="preserve">Participation:</w:t>
      </w:r>
      <w:r>
        <w:t xml:space="preserve"> </w:t>
      </w:r>
      <w:r>
        <w:t xml:space="preserve">P(x,g,q) := Rec(x,q,g) ∧ D(x,g,q). CP generates the dependency from causal realization.</w:t>
      </w:r>
    </w:p>
    <w:p>
      <w:pPr>
        <w:pStyle w:val="Compact"/>
        <w:numPr>
          <w:ilvl w:val="0"/>
          <w:numId w:val="1005"/>
        </w:numPr>
      </w:pPr>
      <w:r>
        <w:rPr>
          <w:b/>
          <w:bCs/>
        </w:rPr>
        <w:t xml:space="preserve">Likeness:</w:t>
      </w:r>
      <w:r>
        <w:t xml:space="preserve"> </w:t>
      </w:r>
      <w:r>
        <w:t xml:space="preserve">L(x,g,q) := ∃m,n [H(x,q,m) ∧ H(g,q,n)]. Shared qualitative content does not include a common natural genus, identical modes, or numerical identity.</w:t>
      </w:r>
    </w:p>
    <w:p>
      <w:pPr>
        <w:pStyle w:val="Compact"/>
        <w:numPr>
          <w:ilvl w:val="0"/>
          <w:numId w:val="1005"/>
        </w:numPr>
      </w:pPr>
      <w:r>
        <w:rPr>
          <w:b/>
          <w:bCs/>
        </w:rPr>
        <w:t xml:space="preserve">Expression:</w:t>
      </w:r>
      <w:r>
        <w:t xml:space="preserve"> </w:t>
      </w:r>
      <w:r>
        <w:t xml:space="preserve">E := P ∧ L. This is a real expression of the source; it does not guarantee that someone recognizes it.</w:t>
      </w:r>
    </w:p>
    <w:p>
      <w:pPr>
        <w:pStyle w:val="Compact"/>
        <w:numPr>
          <w:ilvl w:val="0"/>
          <w:numId w:val="1005"/>
        </w:numPr>
      </w:pPr>
      <w:r>
        <w:rPr>
          <w:b/>
          <w:bCs/>
        </w:rPr>
        <w:t xml:space="preserve">Underived source:</w:t>
      </w:r>
      <w:r>
        <w:t xml:space="preserve"> </w:t>
      </w:r>
      <w:r>
        <w:t xml:space="preserve">U(y) := ¬∃z,r D(y,z,r). It contains neither infinity nor simplicity.</w:t>
      </w:r>
    </w:p>
    <w:p>
      <w:pPr>
        <w:pStyle w:val="Compact"/>
        <w:numPr>
          <w:ilvl w:val="0"/>
          <w:numId w:val="1005"/>
        </w:numPr>
      </w:pPr>
      <w:r>
        <w:rPr>
          <w:b/>
          <w:bCs/>
        </w:rPr>
        <w:t xml:space="preserve">Noncomposite in this model:</w:t>
      </w:r>
      <w:r>
        <w:t xml:space="preserve"> </w:t>
      </w:r>
      <w:r>
        <w:t xml:space="preserve">¬∃z K(z,y). This excludes proper intrinsic constituents. It is narrower than the full classical doctrine of divine simplicity and does not exclude every disputed real distinction, formality, or energy.</w:t>
      </w:r>
    </w:p>
    <w:p>
      <w:pPr>
        <w:pStyle w:val="Compact"/>
        <w:numPr>
          <w:ilvl w:val="0"/>
          <w:numId w:val="1005"/>
        </w:numPr>
      </w:pPr>
      <w:r>
        <w:rPr>
          <w:b/>
          <w:bCs/>
        </w:rPr>
        <w:t xml:space="preserve">Communication:</w:t>
      </w:r>
      <w:r>
        <w:t xml:space="preserve"> </w:t>
      </w:r>
      <w:r>
        <w:t xml:space="preserve">productive real realization in another; nondivision is a theorem under the constitution bridges, not its definition.</w:t>
      </w:r>
    </w:p>
    <w:p>
      <w:pPr>
        <w:pStyle w:val="Compact"/>
        <w:numPr>
          <w:ilvl w:val="0"/>
          <w:numId w:val="1005"/>
        </w:numPr>
      </w:pPr>
      <w:r>
        <w:rPr>
          <w:b/>
          <w:bCs/>
        </w:rPr>
        <w:t xml:space="preserve">Non-exhaustion:</w:t>
      </w:r>
      <w:r>
        <w:t xml:space="preserve"> </w:t>
      </w:r>
      <w:r>
        <w:t xml:space="preserve">μₑ(x) &lt; μₑ(g). This is failure to match source actuality-capacity, not a proof that every finite sentence, symbol, or infinite aggregate inadequately represents every aspect of its source.</w:t>
      </w:r>
    </w:p>
    <w:p>
      <w:pPr>
        <w:pStyle w:val="Compact"/>
        <w:numPr>
          <w:ilvl w:val="0"/>
          <w:numId w:val="1005"/>
        </w:numPr>
      </w:pPr>
      <w:r>
        <w:rPr>
          <w:b/>
          <w:bCs/>
        </w:rPr>
        <w:t xml:space="preserve">Causal intimacy:</w:t>
      </w:r>
      <w:r>
        <w:t xml:space="preserve"> </w:t>
      </w:r>
      <w:r>
        <w:t xml:space="preserve">the source’s present causation of created actuality, not spatial proximity.</w:t>
      </w:r>
      <w:r>
        <w:t xml:space="preserve"> </w:t>
      </w:r>
      <w:r>
        <w:rPr>
          <w:b/>
          <w:bCs/>
        </w:rPr>
        <w:t xml:space="preserve">Transcendence:</w:t>
      </w:r>
      <w:r>
        <w:t xml:space="preserve"> </w:t>
      </w:r>
      <w:r>
        <w:t xml:space="preserve">underivation and unbounded actuality, not distance.</w:t>
      </w:r>
    </w:p>
    <w:p>
      <w:pPr>
        <w:pStyle w:val="Compact"/>
        <w:numPr>
          <w:ilvl w:val="0"/>
          <w:numId w:val="1005"/>
        </w:numPr>
      </w:pPr>
      <w:r>
        <w:rPr>
          <w:b/>
          <w:bCs/>
        </w:rPr>
        <w:t xml:space="preserve">Perfection:</w:t>
      </w:r>
      <w:r>
        <w:t xml:space="preserve"> </w:t>
      </w:r>
      <w:r>
        <w:t xml:space="preserve">a defended interpretation of positive realized content; it is not reducible to mere causal effecthood.</w:t>
      </w:r>
      <w:r>
        <w:t xml:space="preserve"> </w:t>
      </w:r>
      <w:r>
        <w:rPr>
          <w:b/>
          <w:bCs/>
        </w:rPr>
        <w:t xml:space="preserve">Intelligibility:</w:t>
      </w:r>
      <w:r>
        <w:t xml:space="preserve"> </w:t>
      </w:r>
      <w:r>
        <w:t xml:space="preserve">receives no separate proof from the base; divine cognition/logoi provide theological interpretations and further premises.</w:t>
      </w:r>
    </w:p>
    <w:bookmarkEnd w:id="319"/>
    <w:bookmarkStart w:id="320" w:name="derivation-tree"/>
    <w:p>
      <w:pPr>
        <w:pStyle w:val="Heading3"/>
      </w:pPr>
      <w:r>
        <w:t xml:space="preserve">4. Derivation tree</w:t>
      </w:r>
    </w:p>
    <w:p>
      <w:pPr>
        <w:pStyle w:val="SourceCode"/>
      </w:pPr>
      <w:r>
        <w:rPr>
          <w:rStyle w:val="VerbatimChar"/>
        </w:rPr>
        <w:t xml:space="preserve">G + CP + U                 → asymmetric source–effect dependence</w:t>
      </w:r>
      <w:r>
        <w:br/>
      </w:r>
      <w:r>
        <w:rPr>
          <w:rStyle w:val="VerbatimChar"/>
        </w:rPr>
        <w:t xml:space="preserve">Rec + CP                   → P</w:t>
      </w:r>
      <w:r>
        <w:br/>
      </w:r>
      <w:r>
        <w:rPr>
          <w:rStyle w:val="VerbatimChar"/>
        </w:rPr>
        <w:t xml:space="preserve">P + Q                      → L and E</w:t>
      </w:r>
      <w:r>
        <w:br/>
      </w:r>
      <w:r>
        <w:rPr>
          <w:rStyle w:val="VerbatimChar"/>
        </w:rPr>
        <w:t xml:space="preserve">CP + U                     → a source-caused effect cannot be g</w:t>
      </w:r>
      <w:r>
        <w:br/>
      </w:r>
      <w:r>
        <w:rPr>
          <w:rStyle w:val="VerbatimChar"/>
        </w:rPr>
        <w:t xml:space="preserve">KD + U                     → g has no proper intrinsic constituents</w:t>
      </w:r>
      <w:r>
        <w:br/>
      </w:r>
      <w:r>
        <w:rPr>
          <w:rStyle w:val="VerbatimChar"/>
        </w:rPr>
        <w:t xml:space="preserve">KH + FS + FC               → g is no intrinsic constituent of a creature</w:t>
      </w:r>
      <w:r>
        <w:br/>
      </w:r>
      <w:r>
        <w:rPr>
          <w:rStyle w:val="VerbatimChar"/>
        </w:rPr>
        <w:t xml:space="preserve">FS + FC                    → finite actuality cannot measure source actuality</w:t>
      </w:r>
      <w:r>
        <w:br/>
      </w:r>
      <w:r>
        <w:rPr>
          <w:rStyle w:val="VerbatimChar"/>
        </w:rPr>
        <w:t xml:space="preserve">source profile + X         → varying effects without intrinsic source gain</w:t>
      </w:r>
      <w:r>
        <w:br/>
      </w:r>
      <w:r>
        <w:rPr>
          <w:rStyle w:val="VerbatimChar"/>
        </w:rPr>
        <w:t xml:space="preserve">KD + U + N                 → no natural genus constituted by distinct principles</w:t>
      </w:r>
      <w:r>
        <w:br/>
      </w:r>
      <w:r>
        <w:rPr>
          <w:rStyle w:val="VerbatimChar"/>
        </w:rPr>
        <w:t xml:space="preserve">X + accessible alternative → contingency of the specified effect</w:t>
      </w:r>
      <w:r>
        <w:br/>
      </w:r>
      <w:r>
        <w:rPr>
          <w:rStyle w:val="VerbatimChar"/>
        </w:rPr>
        <w:t xml:space="preserve">X + no-creation alternative → no finite expression necessary from fullness</w:t>
      </w:r>
      <w:r>
        <w:br/>
      </w:r>
      <w:r>
        <w:rPr>
          <w:rStyle w:val="VerbatimChar"/>
        </w:rPr>
        <w:t xml:space="preserve">these + free intentional selection → scope for intentional free creation</w:t>
      </w:r>
    </w:p>
    <w:tbl>
      <w:tblPr>
        <w:tblStyle w:val="TableGrid"/>
        <w:tblW w:type="dxa" w:w="9936"/>
        <w:jc w:val="left"/>
        <w:tblLayout w:type="fixed"/>
        <w:tblLook w:firstRow="1" w:lastRow="0" w:firstColumn="0" w:lastColumn="0" w:noHBand="0" w:noVBand="0" w:val="0020"/>
      </w:tblPr>
      <w:tblGrid>
        <w:gridCol w:w="3312"/>
        <w:gridCol w:w="3312"/>
        <w:gridCol w:w="3312"/>
      </w:tblGrid>
      <w:tr>
        <w:trPr>
          <w:tblHeader w:val="true"/>
        </w:trPr>
        <w:tc>
          <w:tcPr>
            <w:tcW w:type="dxa" w:w="3312"/>
            <w:shd w:fill="EAE5DA"/>
          </w:tcPr>
          <w:p>
            <w:pPr>
              <w:pStyle w:val="BodyText"/>
              <w:keepNext w:val="0"/>
              <w:spacing w:after="80" w:line="252" w:lineRule="auto"/>
              <w:jc w:val="left"/>
            </w:pPr>
            <w:r>
              <w:rPr>
                <w:rFonts w:ascii="Calibri" w:hAnsi="Calibri"/>
                <w:b/>
                <w:sz w:val="17"/>
              </w:rPr>
              <w:t xml:space="preserve">Target</w:t>
            </w:r>
          </w:p>
        </w:tc>
        <w:tc>
          <w:tcPr>
            <w:tcW w:type="dxa" w:w="3312"/>
            <w:shd w:fill="EAE5DA"/>
          </w:tcPr>
          <w:p>
            <w:pPr>
              <w:pStyle w:val="BodyText"/>
              <w:keepNext w:val="0"/>
              <w:spacing w:after="80" w:line="252" w:lineRule="auto"/>
              <w:jc w:val="left"/>
            </w:pPr>
            <w:r>
              <w:rPr>
                <w:rFonts w:ascii="Calibri" w:hAnsi="Calibri"/>
                <w:b/>
                <w:sz w:val="17"/>
              </w:rPr>
              <w:t xml:space="preserve">Result</w:t>
            </w:r>
          </w:p>
        </w:tc>
        <w:tc>
          <w:tcPr>
            <w:tcW w:type="dxa" w:w="3312"/>
            <w:shd w:fill="EAE5DA"/>
          </w:tcPr>
          <w:p>
            <w:pPr>
              <w:pStyle w:val="BodyText"/>
              <w:keepNext w:val="0"/>
              <w:spacing w:after="80" w:line="252" w:lineRule="auto"/>
              <w:jc w:val="left"/>
            </w:pPr>
            <w:r>
              <w:rPr>
                <w:rFonts w:ascii="Calibri" w:hAnsi="Calibri"/>
                <w:b/>
                <w:sz w:val="17"/>
              </w:rPr>
              <w:t xml:space="preserve">Clauses / limits</w:t>
            </w:r>
          </w:p>
        </w:tc>
      </w:tr>
      <w:tr>
        <w:tc>
          <w:tcPr>
            <w:tcW w:type="dxa" w:w="3312"/>
          </w:tcPr>
          <w:p>
            <w:pPr>
              <w:pStyle w:val="BodyText"/>
              <w:keepNext w:val="0"/>
              <w:spacing w:after="80" w:line="252" w:lineRule="auto"/>
              <w:jc w:val="left"/>
            </w:pPr>
            <w:r>
              <w:rPr>
                <w:rFonts w:ascii="Calibri" w:hAnsi="Calibri"/>
                <w:sz w:val="17"/>
              </w:rPr>
              <w:t xml:space="preserve">T1 Participation without partition</w:t>
            </w:r>
          </w:p>
        </w:tc>
        <w:tc>
          <w:tcPr>
            <w:tcW w:type="dxa" w:w="3312"/>
          </w:tcPr>
          <w:p>
            <w:pPr>
              <w:pStyle w:val="BodyText"/>
              <w:keepNext w:val="0"/>
              <w:spacing w:after="80" w:line="252" w:lineRule="auto"/>
              <w:jc w:val="left"/>
            </w:pPr>
            <w:r>
              <w:rPr>
                <w:rFonts w:ascii="Calibri" w:hAnsi="Calibri"/>
                <w:sz w:val="17"/>
              </w:rPr>
              <w:t xml:space="preserve">Conditional</w:t>
            </w:r>
          </w:p>
        </w:tc>
        <w:tc>
          <w:tcPr>
            <w:tcW w:type="dxa" w:w="3312"/>
          </w:tcPr>
          <w:p>
            <w:pPr>
              <w:pStyle w:val="BodyText"/>
              <w:keepNext w:val="0"/>
              <w:spacing w:after="80" w:line="252" w:lineRule="auto"/>
              <w:jc w:val="left"/>
            </w:pPr>
            <w:r>
              <w:rPr>
                <w:rFonts w:ascii="Calibri" w:hAnsi="Calibri"/>
                <w:sz w:val="17"/>
              </w:rPr>
              <w:t xml:space="preserve">G, CP, U, KD, KH, FS, FC: KD + U exclude a creature as a constituent of g. KH + FS + FC exclude g as a constituent of a creature. This excludes intrinsic incorporation in either direction; other substance–mode ontologies require their own account.</w:t>
            </w:r>
          </w:p>
        </w:tc>
      </w:tr>
      <w:tr>
        <w:tc>
          <w:tcPr>
            <w:tcW w:type="dxa" w:w="3312"/>
          </w:tcPr>
          <w:p>
            <w:pPr>
              <w:pStyle w:val="BodyText"/>
              <w:keepNext w:val="0"/>
              <w:spacing w:after="80" w:line="252" w:lineRule="auto"/>
              <w:jc w:val="left"/>
            </w:pPr>
            <w:r>
              <w:rPr>
                <w:rFonts w:ascii="Calibri" w:hAnsi="Calibri"/>
                <w:sz w:val="17"/>
              </w:rPr>
              <w:t xml:space="preserve">T2 Likeness without identity</w:t>
            </w:r>
          </w:p>
        </w:tc>
        <w:tc>
          <w:tcPr>
            <w:tcW w:type="dxa" w:w="3312"/>
          </w:tcPr>
          <w:p>
            <w:pPr>
              <w:pStyle w:val="BodyText"/>
              <w:keepNext w:val="0"/>
              <w:spacing w:after="80" w:line="252" w:lineRule="auto"/>
              <w:jc w:val="left"/>
            </w:pPr>
            <w:r>
              <w:rPr>
                <w:rFonts w:ascii="Calibri" w:hAnsi="Calibri"/>
                <w:sz w:val="17"/>
              </w:rPr>
              <w:t xml:space="preserve">Conditional</w:t>
            </w:r>
          </w:p>
        </w:tc>
        <w:tc>
          <w:tcPr>
            <w:tcW w:type="dxa" w:w="3312"/>
          </w:tcPr>
          <w:p>
            <w:pPr>
              <w:pStyle w:val="BodyText"/>
              <w:keepNext w:val="0"/>
              <w:spacing w:after="80" w:line="252" w:lineRule="auto"/>
              <w:jc w:val="left"/>
            </w:pPr>
            <w:r>
              <w:rPr>
                <w:rFonts w:ascii="Calibri" w:hAnsi="Calibri"/>
                <w:sz w:val="17"/>
              </w:rPr>
              <w:t xml:space="preserve">CP, U, Q: For an actual C(g,x,q) effect with H(x,q,m), Q supplies shared content. If x were g, CP would imply dependence of g, contradicting U. No difference is hidden in the definition of reception.</w:t>
            </w:r>
          </w:p>
        </w:tc>
      </w:tr>
      <w:tr>
        <w:tc>
          <w:tcPr>
            <w:tcW w:type="dxa" w:w="3312"/>
          </w:tcPr>
          <w:p>
            <w:pPr>
              <w:pStyle w:val="BodyText"/>
              <w:keepNext w:val="0"/>
              <w:spacing w:after="80" w:line="252" w:lineRule="auto"/>
              <w:jc w:val="left"/>
            </w:pPr>
            <w:r>
              <w:rPr>
                <w:rFonts w:ascii="Calibri" w:hAnsi="Calibri"/>
                <w:sz w:val="17"/>
              </w:rPr>
              <w:t xml:space="preserve">T3 Likeness without common genus</w:t>
            </w:r>
          </w:p>
        </w:tc>
        <w:tc>
          <w:tcPr>
            <w:tcW w:type="dxa" w:w="3312"/>
          </w:tcPr>
          <w:p>
            <w:pPr>
              <w:pStyle w:val="BodyText"/>
              <w:keepNext w:val="0"/>
              <w:spacing w:after="80" w:line="252" w:lineRule="auto"/>
              <w:jc w:val="left"/>
            </w:pPr>
            <w:r>
              <w:rPr>
                <w:rFonts w:ascii="Calibri" w:hAnsi="Calibri"/>
                <w:sz w:val="17"/>
              </w:rPr>
              <w:t xml:space="preserve">Extra bridge</w:t>
            </w:r>
          </w:p>
        </w:tc>
        <w:tc>
          <w:tcPr>
            <w:tcW w:type="dxa" w:w="3312"/>
          </w:tcPr>
          <w:p>
            <w:pPr>
              <w:pStyle w:val="BodyText"/>
              <w:keepNext w:val="0"/>
              <w:spacing w:after="80" w:line="252" w:lineRule="auto"/>
              <w:jc w:val="left"/>
            </w:pPr>
            <w:r>
              <w:rPr>
                <w:rFonts w:ascii="Calibri" w:hAnsi="Calibri"/>
                <w:sz w:val="17"/>
              </w:rPr>
              <w:t xml:space="preserve">G, Q, U, KD, N: The basic assumptions block an inference from likeness to genus; it does not prove that no genus exists. N + KD + U exclude natural genus-membership. Scotist univocity of a concept is a separate issue.</w:t>
            </w:r>
          </w:p>
        </w:tc>
      </w:tr>
      <w:tr>
        <w:tc>
          <w:tcPr>
            <w:tcW w:type="dxa" w:w="3312"/>
          </w:tcPr>
          <w:p>
            <w:pPr>
              <w:pStyle w:val="BodyText"/>
              <w:keepNext w:val="0"/>
              <w:spacing w:after="80" w:line="252" w:lineRule="auto"/>
              <w:jc w:val="left"/>
            </w:pPr>
            <w:r>
              <w:rPr>
                <w:rFonts w:ascii="Calibri" w:hAnsi="Calibri"/>
                <w:sz w:val="17"/>
              </w:rPr>
              <w:t xml:space="preserve">T4 Dependence without reciprocal completion</w:t>
            </w:r>
          </w:p>
        </w:tc>
        <w:tc>
          <w:tcPr>
            <w:tcW w:type="dxa" w:w="3312"/>
          </w:tcPr>
          <w:p>
            <w:pPr>
              <w:pStyle w:val="BodyText"/>
              <w:keepNext w:val="0"/>
              <w:spacing w:after="80" w:line="252" w:lineRule="auto"/>
              <w:jc w:val="left"/>
            </w:pPr>
            <w:r>
              <w:rPr>
                <w:rFonts w:ascii="Calibri" w:hAnsi="Calibri"/>
                <w:sz w:val="17"/>
              </w:rPr>
              <w:t xml:space="preserve">Conditional</w:t>
            </w:r>
          </w:p>
        </w:tc>
        <w:tc>
          <w:tcPr>
            <w:tcW w:type="dxa" w:w="3312"/>
          </w:tcPr>
          <w:p>
            <w:pPr>
              <w:pStyle w:val="BodyText"/>
              <w:keepNext w:val="0"/>
              <w:spacing w:after="80" w:line="252" w:lineRule="auto"/>
              <w:jc w:val="left"/>
            </w:pPr>
            <w:r>
              <w:rPr>
                <w:rFonts w:ascii="Calibri" w:hAnsi="Calibri"/>
                <w:sz w:val="17"/>
              </w:rPr>
              <w:t xml:space="preserve">G, CP, U: Effects depend on g; no actuality of g is grounded in them.</w:t>
            </w:r>
            <w:r>
              <w:rPr>
                <w:rFonts w:ascii="Calibri" w:hAnsi="Calibri"/>
                <w:sz w:val="17"/>
              </w:rPr>
              <w:t xml:space="preserve"> </w:t>
            </w:r>
            <w:r>
              <w:rPr>
                <w:rFonts w:ascii="Calibri" w:hAnsi="Calibri"/>
                <w:sz w:val="17"/>
              </w:rPr>
              <w:t xml:space="preserve">“</w:t>
            </w:r>
            <w:r>
              <w:rPr>
                <w:rFonts w:ascii="Calibri" w:hAnsi="Calibri"/>
                <w:sz w:val="17"/>
              </w:rPr>
              <w:t xml:space="preserve">Completion</w:t>
            </w:r>
            <w:r>
              <w:rPr>
                <w:rFonts w:ascii="Calibri" w:hAnsi="Calibri"/>
                <w:sz w:val="17"/>
              </w:rPr>
              <w:t xml:space="preserve">”</w:t>
            </w:r>
            <w:r>
              <w:rPr>
                <w:rFonts w:ascii="Calibri" w:hAnsi="Calibri"/>
                <w:sz w:val="17"/>
              </w:rPr>
              <w:t xml:space="preserve"> </w:t>
            </w:r>
            <w:r>
              <w:rPr>
                <w:rFonts w:ascii="Calibri" w:hAnsi="Calibri"/>
                <w:sz w:val="17"/>
              </w:rPr>
              <w:t xml:space="preserve">must mean acquisition or grounding of intrinsic perfection, not merely true external predication.</w:t>
            </w:r>
          </w:p>
        </w:tc>
      </w:tr>
      <w:tr>
        <w:tc>
          <w:tcPr>
            <w:tcW w:type="dxa" w:w="3312"/>
          </w:tcPr>
          <w:p>
            <w:pPr>
              <w:pStyle w:val="BodyText"/>
              <w:keepNext w:val="0"/>
              <w:spacing w:after="80" w:line="252" w:lineRule="auto"/>
              <w:jc w:val="left"/>
            </w:pPr>
            <w:r>
              <w:rPr>
                <w:rFonts w:ascii="Calibri" w:hAnsi="Calibri"/>
                <w:sz w:val="17"/>
              </w:rPr>
              <w:t xml:space="preserve">T5 Causal intimacy without constituent identity</w:t>
            </w:r>
          </w:p>
        </w:tc>
        <w:tc>
          <w:tcPr>
            <w:tcW w:type="dxa" w:w="3312"/>
          </w:tcPr>
          <w:p>
            <w:pPr>
              <w:pStyle w:val="BodyText"/>
              <w:keepNext w:val="0"/>
              <w:spacing w:after="80" w:line="252" w:lineRule="auto"/>
              <w:jc w:val="left"/>
            </w:pPr>
            <w:r>
              <w:rPr>
                <w:rFonts w:ascii="Calibri" w:hAnsi="Calibri"/>
                <w:sz w:val="17"/>
              </w:rPr>
              <w:t xml:space="preserve">Conditional</w:t>
            </w:r>
          </w:p>
        </w:tc>
        <w:tc>
          <w:tcPr>
            <w:tcW w:type="dxa" w:w="3312"/>
          </w:tcPr>
          <w:p>
            <w:pPr>
              <w:pStyle w:val="BodyText"/>
              <w:keepNext w:val="0"/>
              <w:spacing w:after="80" w:line="252" w:lineRule="auto"/>
              <w:jc w:val="left"/>
            </w:pPr>
            <w:r>
              <w:rPr>
                <w:rFonts w:ascii="Calibri" w:hAnsi="Calibri"/>
                <w:sz w:val="17"/>
              </w:rPr>
              <w:t xml:space="preserve">G, CP, U, KD, KH, FS, FC: G requires the source to sustain actuality in the present. T1 rules out intrinsic constituency in either direction. Intimacy names this present sustaining dependence, not spatial closeness; it does not exclude secondary causes.</w:t>
            </w:r>
          </w:p>
        </w:tc>
      </w:tr>
      <w:tr>
        <w:tc>
          <w:tcPr>
            <w:tcW w:type="dxa" w:w="3312"/>
          </w:tcPr>
          <w:p>
            <w:pPr>
              <w:pStyle w:val="BodyText"/>
              <w:keepNext w:val="0"/>
              <w:spacing w:after="80" w:line="252" w:lineRule="auto"/>
              <w:jc w:val="left"/>
            </w:pPr>
            <w:r>
              <w:rPr>
                <w:rFonts w:ascii="Calibri" w:hAnsi="Calibri"/>
                <w:sz w:val="17"/>
              </w:rPr>
              <w:t xml:space="preserve">T6 Transcendence without distance</w:t>
            </w:r>
          </w:p>
        </w:tc>
        <w:tc>
          <w:tcPr>
            <w:tcW w:type="dxa" w:w="3312"/>
          </w:tcPr>
          <w:p>
            <w:pPr>
              <w:pStyle w:val="BodyText"/>
              <w:keepNext w:val="0"/>
              <w:spacing w:after="80" w:line="252" w:lineRule="auto"/>
              <w:jc w:val="left"/>
            </w:pPr>
            <w:r>
              <w:rPr>
                <w:rFonts w:ascii="Calibri" w:hAnsi="Calibri"/>
                <w:sz w:val="17"/>
              </w:rPr>
              <w:t xml:space="preserve">Compatibility</w:t>
            </w:r>
          </w:p>
        </w:tc>
        <w:tc>
          <w:tcPr>
            <w:tcW w:type="dxa" w:w="3312"/>
          </w:tcPr>
          <w:p>
            <w:pPr>
              <w:pStyle w:val="BodyText"/>
              <w:keepNext w:val="0"/>
              <w:spacing w:after="80" w:line="252" w:lineRule="auto"/>
              <w:jc w:val="left"/>
            </w:pPr>
            <w:r>
              <w:rPr>
                <w:rFonts w:ascii="Calibri" w:hAnsi="Calibri"/>
                <w:sz w:val="17"/>
              </w:rPr>
              <w:t xml:space="preserve">G, CP, U, FS, FC: Unequal modes and underivation coexist with present causation. The theory neither places God at a spatial location nor proves a spatial negative from a language without space.</w:t>
            </w:r>
          </w:p>
        </w:tc>
      </w:tr>
      <w:tr>
        <w:tc>
          <w:tcPr>
            <w:tcW w:type="dxa" w:w="3312"/>
          </w:tcPr>
          <w:p>
            <w:pPr>
              <w:pStyle w:val="BodyText"/>
              <w:keepNext w:val="0"/>
              <w:spacing w:after="80" w:line="252" w:lineRule="auto"/>
              <w:jc w:val="left"/>
            </w:pPr>
            <w:r>
              <w:rPr>
                <w:rFonts w:ascii="Calibri" w:hAnsi="Calibri"/>
                <w:sz w:val="17"/>
              </w:rPr>
              <w:t xml:space="preserve">T7 Finite manifestation without exhaustive representation</w:t>
            </w:r>
          </w:p>
        </w:tc>
        <w:tc>
          <w:tcPr>
            <w:tcW w:type="dxa" w:w="3312"/>
          </w:tcPr>
          <w:p>
            <w:pPr>
              <w:pStyle w:val="BodyText"/>
              <w:keepNext w:val="0"/>
              <w:spacing w:after="80" w:line="252" w:lineRule="auto"/>
              <w:jc w:val="left"/>
            </w:pPr>
            <w:r>
              <w:rPr>
                <w:rFonts w:ascii="Calibri" w:hAnsi="Calibri"/>
                <w:sz w:val="17"/>
              </w:rPr>
              <w:t xml:space="preserve">Qualified</w:t>
            </w:r>
          </w:p>
        </w:tc>
        <w:tc>
          <w:tcPr>
            <w:tcW w:type="dxa" w:w="3312"/>
          </w:tcPr>
          <w:p>
            <w:pPr>
              <w:pStyle w:val="BodyText"/>
              <w:keepNext w:val="0"/>
              <w:spacing w:after="80" w:line="252" w:lineRule="auto"/>
              <w:jc w:val="left"/>
            </w:pPr>
            <w:r>
              <w:rPr>
                <w:rFonts w:ascii="Calibri" w:hAnsi="Calibri"/>
                <w:sz w:val="17"/>
              </w:rPr>
              <w:t xml:space="preserve">G, Q, FS, FC: Source-related content can be truly manifested while a finite realization fails to match unlimited source actuality. Objective expression is not yet warranted recognition. A finite proposition can be exactly true; the mode comparison does not disqualify every representation or infinite aggregate.</w:t>
            </w:r>
          </w:p>
        </w:tc>
      </w:tr>
      <w:tr>
        <w:tc>
          <w:tcPr>
            <w:tcW w:type="dxa" w:w="3312"/>
          </w:tcPr>
          <w:p>
            <w:pPr>
              <w:pStyle w:val="BodyText"/>
              <w:keepNext w:val="0"/>
              <w:spacing w:after="80" w:line="252" w:lineRule="auto"/>
              <w:jc w:val="left"/>
            </w:pPr>
            <w:r>
              <w:rPr>
                <w:rFonts w:ascii="Calibri" w:hAnsi="Calibri"/>
                <w:sz w:val="17"/>
              </w:rPr>
              <w:t xml:space="preserve">T8 Real communication without source-completion</w:t>
            </w:r>
          </w:p>
        </w:tc>
        <w:tc>
          <w:tcPr>
            <w:tcW w:type="dxa" w:w="3312"/>
          </w:tcPr>
          <w:p>
            <w:pPr>
              <w:pStyle w:val="BodyText"/>
              <w:keepNext w:val="0"/>
              <w:spacing w:after="80" w:line="252" w:lineRule="auto"/>
              <w:jc w:val="left"/>
            </w:pPr>
            <w:r>
              <w:rPr>
                <w:rFonts w:ascii="Calibri" w:hAnsi="Calibri"/>
                <w:sz w:val="17"/>
              </w:rPr>
              <w:t xml:space="preserve">Conditional</w:t>
            </w:r>
          </w:p>
        </w:tc>
        <w:tc>
          <w:tcPr>
            <w:tcW w:type="dxa" w:w="3312"/>
          </w:tcPr>
          <w:p>
            <w:pPr>
              <w:pStyle w:val="BodyText"/>
              <w:keepNext w:val="0"/>
              <w:spacing w:after="80" w:line="252" w:lineRule="auto"/>
              <w:jc w:val="left"/>
            </w:pPr>
            <w:r>
              <w:rPr>
                <w:rFonts w:ascii="Calibri" w:hAnsi="Calibri"/>
                <w:sz w:val="17"/>
              </w:rPr>
              <w:t xml:space="preserve">G, CP, Q, U, X: H places the received perfection really in the participant; C gives its productive origin. Nonpartition is established separately by T1. U excludes completion grounded in the effect; X additionally excludes intrinsic gain correlated with different communications.</w:t>
            </w:r>
          </w:p>
        </w:tc>
      </w:tr>
      <w:tr>
        <w:tc>
          <w:tcPr>
            <w:tcW w:type="dxa" w:w="3312"/>
          </w:tcPr>
          <w:p>
            <w:pPr>
              <w:pStyle w:val="BodyText"/>
              <w:keepNext w:val="0"/>
              <w:spacing w:after="80" w:line="252" w:lineRule="auto"/>
              <w:jc w:val="left"/>
            </w:pPr>
            <w:r>
              <w:rPr>
                <w:rFonts w:ascii="Calibri" w:hAnsi="Calibri"/>
                <w:sz w:val="17"/>
              </w:rPr>
              <w:t xml:space="preserve">T9 Creaturely perfection without independent Forms</w:t>
            </w:r>
          </w:p>
        </w:tc>
        <w:tc>
          <w:tcPr>
            <w:tcW w:type="dxa" w:w="3312"/>
          </w:tcPr>
          <w:p>
            <w:pPr>
              <w:pStyle w:val="BodyText"/>
              <w:keepNext w:val="0"/>
              <w:spacing w:after="80" w:line="252" w:lineRule="auto"/>
              <w:jc w:val="left"/>
            </w:pPr>
            <w:r>
              <w:rPr>
                <w:rFonts w:ascii="Calibri" w:hAnsi="Calibri"/>
                <w:sz w:val="17"/>
              </w:rPr>
              <w:t xml:space="preserve">Economy, not exclusion</w:t>
            </w:r>
          </w:p>
        </w:tc>
        <w:tc>
          <w:tcPr>
            <w:tcW w:type="dxa" w:w="3312"/>
          </w:tcPr>
          <w:p>
            <w:pPr>
              <w:pStyle w:val="BodyText"/>
              <w:keepNext w:val="0"/>
              <w:spacing w:after="80" w:line="252" w:lineRule="auto"/>
              <w:jc w:val="left"/>
            </w:pPr>
            <w:r>
              <w:rPr>
                <w:rFonts w:ascii="Calibri" w:hAnsi="Calibri"/>
                <w:sz w:val="17"/>
              </w:rPr>
              <w:t xml:space="preserve">G, Q: H records what the creature really possesses; q indexes intelligible content without introducing an actual detached Form. An independently existing Form is unnecessary for this account of sourced perfection. Its nonexistence requires an additional ontological closure principle.</w:t>
            </w:r>
          </w:p>
        </w:tc>
      </w:tr>
      <w:tr>
        <w:tc>
          <w:tcPr>
            <w:tcW w:type="dxa" w:w="3312"/>
          </w:tcPr>
          <w:p>
            <w:pPr>
              <w:pStyle w:val="BodyText"/>
              <w:keepNext w:val="0"/>
              <w:spacing w:after="80" w:line="252" w:lineRule="auto"/>
              <w:jc w:val="left"/>
            </w:pPr>
            <w:r>
              <w:rPr>
                <w:rFonts w:ascii="Calibri" w:hAnsi="Calibri"/>
                <w:sz w:val="17"/>
              </w:rPr>
              <w:t xml:space="preserve">T10 Divine immanence without pantheistic identity</w:t>
            </w:r>
          </w:p>
        </w:tc>
        <w:tc>
          <w:tcPr>
            <w:tcW w:type="dxa" w:w="3312"/>
          </w:tcPr>
          <w:p>
            <w:pPr>
              <w:pStyle w:val="BodyText"/>
              <w:keepNext w:val="0"/>
              <w:spacing w:after="80" w:line="252" w:lineRule="auto"/>
              <w:jc w:val="left"/>
            </w:pPr>
            <w:r>
              <w:rPr>
                <w:rFonts w:ascii="Calibri" w:hAnsi="Calibri"/>
                <w:sz w:val="17"/>
              </w:rPr>
              <w:t xml:space="preserve">Conditional</w:t>
            </w:r>
          </w:p>
        </w:tc>
        <w:tc>
          <w:tcPr>
            <w:tcW w:type="dxa" w:w="3312"/>
          </w:tcPr>
          <w:p>
            <w:pPr>
              <w:pStyle w:val="BodyText"/>
              <w:keepNext w:val="0"/>
              <w:spacing w:after="80" w:line="252" w:lineRule="auto"/>
              <w:jc w:val="left"/>
            </w:pPr>
            <w:r>
              <w:rPr>
                <w:rFonts w:ascii="Calibri" w:hAnsi="Calibri"/>
                <w:sz w:val="17"/>
              </w:rPr>
              <w:t xml:space="preserve">G, CP, U, KH, FS, FC: Present sustaining causality and source–effect nonidentity jointly hold. This excludes identity-pantheism;</w:t>
            </w:r>
            <w:r>
              <w:rPr>
                <w:rFonts w:ascii="Calibri" w:hAnsi="Calibri"/>
                <w:sz w:val="17"/>
              </w:rPr>
              <w:t xml:space="preserve"> </w:t>
            </w:r>
            <w:r>
              <w:rPr>
                <w:rFonts w:ascii="Calibri" w:hAnsi="Calibri"/>
                <w:sz w:val="17"/>
              </w:rPr>
              <w:t xml:space="preserve">“</w:t>
            </w:r>
            <w:r>
              <w:rPr>
                <w:rFonts w:ascii="Calibri" w:hAnsi="Calibri"/>
                <w:sz w:val="17"/>
              </w:rPr>
              <w:t xml:space="preserve">panentheism</w:t>
            </w:r>
            <w:r>
              <w:rPr>
                <w:rFonts w:ascii="Calibri" w:hAnsi="Calibri"/>
                <w:sz w:val="17"/>
              </w:rPr>
              <w:t xml:space="preserve">”</w:t>
            </w:r>
            <w:r>
              <w:rPr>
                <w:rFonts w:ascii="Calibri" w:hAnsi="Calibri"/>
                <w:sz w:val="17"/>
              </w:rPr>
              <w:t xml:space="preserve"> </w:t>
            </w:r>
            <w:r>
              <w:rPr>
                <w:rFonts w:ascii="Calibri" w:hAnsi="Calibri"/>
                <w:sz w:val="17"/>
              </w:rPr>
              <w:t xml:space="preserve">remains too varied a label to refute by one theorem.</w:t>
            </w:r>
          </w:p>
        </w:tc>
      </w:tr>
      <w:tr>
        <w:tc>
          <w:tcPr>
            <w:tcW w:type="dxa" w:w="3312"/>
          </w:tcPr>
          <w:p>
            <w:pPr>
              <w:pStyle w:val="BodyText"/>
              <w:keepNext w:val="0"/>
              <w:spacing w:after="80" w:line="252" w:lineRule="auto"/>
              <w:jc w:val="left"/>
            </w:pPr>
            <w:r>
              <w:rPr>
                <w:rFonts w:ascii="Calibri" w:hAnsi="Calibri"/>
                <w:sz w:val="17"/>
              </w:rPr>
              <w:t xml:space="preserve">T11 Asymmetric Creator–creature relation</w:t>
            </w:r>
          </w:p>
        </w:tc>
        <w:tc>
          <w:tcPr>
            <w:tcW w:type="dxa" w:w="3312"/>
          </w:tcPr>
          <w:p>
            <w:pPr>
              <w:pStyle w:val="BodyText"/>
              <w:keepNext w:val="0"/>
              <w:spacing w:after="80" w:line="252" w:lineRule="auto"/>
              <w:jc w:val="left"/>
            </w:pPr>
            <w:r>
              <w:rPr>
                <w:rFonts w:ascii="Calibri" w:hAnsi="Calibri"/>
                <w:sz w:val="17"/>
              </w:rPr>
              <w:t xml:space="preserve">Qualified</w:t>
            </w:r>
          </w:p>
        </w:tc>
        <w:tc>
          <w:tcPr>
            <w:tcW w:type="dxa" w:w="3312"/>
          </w:tcPr>
          <w:p>
            <w:pPr>
              <w:pStyle w:val="BodyText"/>
              <w:keepNext w:val="0"/>
              <w:spacing w:after="80" w:line="252" w:lineRule="auto"/>
              <w:jc w:val="left"/>
            </w:pPr>
            <w:r>
              <w:rPr>
                <w:rFonts w:ascii="Calibri" w:hAnsi="Calibri"/>
                <w:sz w:val="17"/>
              </w:rPr>
              <w:t xml:space="preserve">G, CP, U, X: D is an actual creaturely grounding fact; source intrinsic actuality is not constituted by changed effects. Aquinas’s further</w:t>
            </w:r>
            <w:r>
              <w:rPr>
                <w:rFonts w:ascii="Calibri" w:hAnsi="Calibri"/>
                <w:sz w:val="17"/>
              </w:rPr>
              <w:t xml:space="preserve"> </w:t>
            </w:r>
            <w:r>
              <w:rPr>
                <w:rFonts w:ascii="Calibri" w:hAnsi="Calibri"/>
                <w:sz w:val="17"/>
              </w:rPr>
              <w:t xml:space="preserve">“</w:t>
            </w:r>
            <w:r>
              <w:rPr>
                <w:rFonts w:ascii="Calibri" w:hAnsi="Calibri"/>
                <w:sz w:val="17"/>
              </w:rPr>
              <w:t xml:space="preserve">real / relation of reason</w:t>
            </w:r>
            <w:r>
              <w:rPr>
                <w:rFonts w:ascii="Calibri" w:hAnsi="Calibri"/>
                <w:sz w:val="17"/>
              </w:rPr>
              <w:t xml:space="preserve">”</w:t>
            </w:r>
            <w:r>
              <w:rPr>
                <w:rFonts w:ascii="Calibri" w:hAnsi="Calibri"/>
                <w:sz w:val="17"/>
              </w:rPr>
              <w:t xml:space="preserve"> </w:t>
            </w:r>
            <w:r>
              <w:rPr>
                <w:rFonts w:ascii="Calibri" w:hAnsi="Calibri"/>
                <w:sz w:val="17"/>
              </w:rPr>
              <w:t xml:space="preserve">classification requires a school-specific relational ontology.</w:t>
            </w:r>
          </w:p>
        </w:tc>
      </w:tr>
      <w:tr>
        <w:tc>
          <w:tcPr>
            <w:tcW w:type="dxa" w:w="3312"/>
          </w:tcPr>
          <w:p>
            <w:pPr>
              <w:pStyle w:val="BodyText"/>
              <w:keepNext w:val="0"/>
              <w:spacing w:after="80" w:line="252" w:lineRule="auto"/>
              <w:jc w:val="left"/>
            </w:pPr>
            <w:r>
              <w:rPr>
                <w:rFonts w:ascii="Calibri" w:hAnsi="Calibri"/>
                <w:sz w:val="17"/>
              </w:rPr>
              <w:t xml:space="preserve">T12 Finite measure belongs to the recipient</w:t>
            </w:r>
          </w:p>
        </w:tc>
        <w:tc>
          <w:tcPr>
            <w:tcW w:type="dxa" w:w="3312"/>
          </w:tcPr>
          <w:p>
            <w:pPr>
              <w:pStyle w:val="BodyText"/>
              <w:keepNext w:val="0"/>
              <w:spacing w:after="80" w:line="252" w:lineRule="auto"/>
              <w:jc w:val="left"/>
            </w:pPr>
            <w:r>
              <w:rPr>
                <w:rFonts w:ascii="Calibri" w:hAnsi="Calibri"/>
                <w:sz w:val="17"/>
              </w:rPr>
              <w:t xml:space="preserve">Indexed fact</w:t>
            </w:r>
          </w:p>
        </w:tc>
        <w:tc>
          <w:tcPr>
            <w:tcW w:type="dxa" w:w="3312"/>
          </w:tcPr>
          <w:p>
            <w:pPr>
              <w:pStyle w:val="BodyText"/>
              <w:keepNext w:val="0"/>
              <w:spacing w:after="80" w:line="252" w:lineRule="auto"/>
              <w:jc w:val="left"/>
            </w:pPr>
            <w:r>
              <w:rPr>
                <w:rFonts w:ascii="Calibri" w:hAnsi="Calibri"/>
                <w:sz w:val="17"/>
              </w:rPr>
              <w:t xml:space="preserve">FS, FC: H indexes mode to its subject. FC bounds creatures; FS independently leaves the source unbounded. Subject-indexing alone would never prove divine infinity.</w:t>
            </w:r>
          </w:p>
        </w:tc>
      </w:tr>
      <w:tr>
        <w:tc>
          <w:tcPr>
            <w:tcW w:type="dxa" w:w="3312"/>
          </w:tcPr>
          <w:p>
            <w:pPr>
              <w:pStyle w:val="BodyText"/>
              <w:keepNext w:val="0"/>
              <w:spacing w:after="80" w:line="252" w:lineRule="auto"/>
              <w:jc w:val="left"/>
            </w:pPr>
            <w:r>
              <w:rPr>
                <w:rFonts w:ascii="Calibri" w:hAnsi="Calibri"/>
                <w:sz w:val="17"/>
              </w:rPr>
              <w:t xml:space="preserve">T13 Many expressions, no multiplied source</w:t>
            </w:r>
          </w:p>
        </w:tc>
        <w:tc>
          <w:tcPr>
            <w:tcW w:type="dxa" w:w="3312"/>
          </w:tcPr>
          <w:p>
            <w:pPr>
              <w:pStyle w:val="BodyText"/>
              <w:keepNext w:val="0"/>
              <w:spacing w:after="80" w:line="252" w:lineRule="auto"/>
              <w:jc w:val="left"/>
            </w:pPr>
            <w:r>
              <w:rPr>
                <w:rFonts w:ascii="Calibri" w:hAnsi="Calibri"/>
                <w:sz w:val="17"/>
              </w:rPr>
              <w:t xml:space="preserve">Non-entailment</w:t>
            </w:r>
          </w:p>
        </w:tc>
        <w:tc>
          <w:tcPr>
            <w:tcW w:type="dxa" w:w="3312"/>
          </w:tcPr>
          <w:p>
            <w:pPr>
              <w:pStyle w:val="BodyText"/>
              <w:keepNext w:val="0"/>
              <w:spacing w:after="80" w:line="252" w:lineRule="auto"/>
              <w:jc w:val="left"/>
            </w:pPr>
            <w:r>
              <w:rPr>
                <w:rFonts w:ascii="Calibri" w:hAnsi="Calibri"/>
                <w:sz w:val="17"/>
              </w:rPr>
              <w:t xml:space="preserve">G, CP, U, KD, X: KD + U exclude composition of g; X allows multiple created effects with unchanged intrinsic source actuality. Many effects do not entail many divine constituents. This does not settle formalities or energies.</w:t>
            </w:r>
          </w:p>
        </w:tc>
      </w:tr>
      <w:tr>
        <w:tc>
          <w:tcPr>
            <w:tcW w:type="dxa" w:w="3312"/>
          </w:tcPr>
          <w:p>
            <w:pPr>
              <w:pStyle w:val="BodyText"/>
              <w:keepNext w:val="0"/>
              <w:spacing w:after="80" w:line="252" w:lineRule="auto"/>
              <w:jc w:val="left"/>
            </w:pPr>
            <w:r>
              <w:rPr>
                <w:rFonts w:ascii="Calibri" w:hAnsi="Calibri"/>
                <w:sz w:val="17"/>
              </w:rPr>
              <w:t xml:space="preserve">T14 No finite participation measures the unlimited source</w:t>
            </w:r>
          </w:p>
        </w:tc>
        <w:tc>
          <w:tcPr>
            <w:tcW w:type="dxa" w:w="3312"/>
          </w:tcPr>
          <w:p>
            <w:pPr>
              <w:pStyle w:val="BodyText"/>
              <w:keepNext w:val="0"/>
              <w:spacing w:after="80" w:line="252" w:lineRule="auto"/>
              <w:jc w:val="left"/>
            </w:pPr>
            <w:r>
              <w:rPr>
                <w:rFonts w:ascii="Calibri" w:hAnsi="Calibri"/>
                <w:sz w:val="17"/>
              </w:rPr>
              <w:t xml:space="preserve">Conditional</w:t>
            </w:r>
          </w:p>
        </w:tc>
        <w:tc>
          <w:tcPr>
            <w:tcW w:type="dxa" w:w="3312"/>
          </w:tcPr>
          <w:p>
            <w:pPr>
              <w:pStyle w:val="BodyText"/>
              <w:keepNext w:val="0"/>
              <w:spacing w:after="80" w:line="252" w:lineRule="auto"/>
              <w:jc w:val="left"/>
            </w:pPr>
            <w:r>
              <w:rPr>
                <w:rFonts w:ascii="Calibri" w:hAnsi="Calibri"/>
                <w:sz w:val="17"/>
              </w:rPr>
              <w:t xml:space="preserve">FS, FC: For actuality e, every finite μₑ(x) is strictly below μₑ(g). For another perfection q, add unlimitedness of the source and boundedness of that participation in that very respect.</w:t>
            </w:r>
          </w:p>
        </w:tc>
      </w:tr>
      <w:tr>
        <w:tc>
          <w:tcPr>
            <w:tcW w:type="dxa" w:w="3312"/>
          </w:tcPr>
          <w:p>
            <w:pPr>
              <w:pStyle w:val="BodyText"/>
              <w:keepNext w:val="0"/>
              <w:spacing w:after="80" w:line="252" w:lineRule="auto"/>
              <w:jc w:val="left"/>
            </w:pPr>
            <w:r>
              <w:rPr>
                <w:rFonts w:ascii="Calibri" w:hAnsi="Calibri"/>
                <w:sz w:val="17"/>
              </w:rPr>
              <w:t xml:space="preserve">T15 No particular expression necessitated by fullness</w:t>
            </w:r>
          </w:p>
        </w:tc>
        <w:tc>
          <w:tcPr>
            <w:tcW w:type="dxa" w:w="3312"/>
          </w:tcPr>
          <w:p>
            <w:pPr>
              <w:pStyle w:val="BodyText"/>
              <w:keepNext w:val="0"/>
              <w:spacing w:after="80" w:line="252" w:lineRule="auto"/>
              <w:jc w:val="left"/>
            </w:pPr>
            <w:r>
              <w:rPr>
                <w:rFonts w:ascii="Calibri" w:hAnsi="Calibri"/>
                <w:sz w:val="17"/>
              </w:rPr>
              <w:t xml:space="preserve">Extra modal premise</w:t>
            </w:r>
          </w:p>
        </w:tc>
        <w:tc>
          <w:tcPr>
            <w:tcW w:type="dxa" w:w="3312"/>
          </w:tcPr>
          <w:p>
            <w:pPr>
              <w:pStyle w:val="BodyText"/>
              <w:keepNext w:val="0"/>
              <w:spacing w:after="80" w:line="252" w:lineRule="auto"/>
              <w:jc w:val="left"/>
            </w:pPr>
            <w:r>
              <w:rPr>
                <w:rFonts w:ascii="Calibri" w:hAnsi="Calibri"/>
                <w:sz w:val="17"/>
              </w:rPr>
              <w:t xml:space="preserve">X, V: V supplies a genuine no-creation alternative with the same source fullness, so no finite expression is necessary from that fullness. W is additionally required for intentional free selection. Neither follows from non-exhaustion.</w:t>
            </w:r>
          </w:p>
        </w:tc>
      </w:tr>
    </w:tbl>
    <w:p>
      <w:pPr>
        <w:pStyle w:val="BodyText"/>
      </w:pPr>
      <w:r>
        <w:t xml:space="preserve">For T1, KD + U forbid an intrinsic creature-constituent of g; KH + FS + FC forbid g as an intrinsic constituent of a finite effect. A simple source could otherwise remain a constituent of another. For T2, given C(g,x,q) and H(x,q,m), Q gives source-content; CP + U exclude x = g. Difference was not built into reception.</w:t>
      </w:r>
    </w:p>
    <w:p>
      <w:pPr>
        <w:pStyle w:val="BodyText"/>
      </w:pPr>
      <w:r>
        <w:t xml:space="preserve">Strong T3 requires</w:t>
      </w:r>
      <w:r>
        <w:t xml:space="preserve"> </w:t>
      </w:r>
      <w:r>
        <w:rPr>
          <w:b/>
          <w:bCs/>
        </w:rPr>
        <w:t xml:space="preserve">N</w:t>
      </w:r>
      <w:r>
        <w:t xml:space="preserve">, a defended natural-genus account: genus and specific differentiation are distinct intrinsic constitutive principles. Noncomposition then excludes that genus-membership. A shared concept of being is not thereby a natural genus; Scotist univocity is not refuted by this argument. The base proves no inference from shared H to genus, not no-genus by pure logic.</w:t>
      </w:r>
    </w:p>
    <w:p>
      <w:pPr>
        <w:pStyle w:val="BodyText"/>
      </w:pPr>
      <w:r>
        <w:t xml:space="preserve">T11 obtains real asymmetric creaturely grounding without intrinsic source constitution. Aquinas’s further real/relation-of-reason classification requires his relational ontology; true reciprocal predications are not denied. T13 does not prove that formalities or uncreated energies are creatureward conceptual distinctions.</w:t>
      </w:r>
    </w:p>
    <w:bookmarkEnd w:id="320"/>
    <w:bookmarkStart w:id="321" w:name="deletion-and-independence"/>
    <w:p>
      <w:pPr>
        <w:pStyle w:val="Heading3"/>
      </w:pPr>
      <w:r>
        <w:t xml:space="preserve">5. Deletion and independence</w:t>
      </w:r>
    </w:p>
    <w:tbl>
      <w:tblPr>
        <w:tblStyle w:val="TableGrid"/>
        <w:tblW w:type="dxa" w:w="9936"/>
        <w:jc w:val="left"/>
        <w:tblLayout w:type="fixed"/>
        <w:tblLook w:firstRow="1" w:lastRow="0" w:firstColumn="0" w:lastColumn="0" w:noHBand="0" w:noVBand="0" w:val="0020"/>
      </w:tblPr>
      <w:tblGrid>
        <w:gridCol w:w="3312"/>
        <w:gridCol w:w="3312"/>
        <w:gridCol w:w="3312"/>
      </w:tblGrid>
      <w:tr>
        <w:trPr>
          <w:tblHeader w:val="true"/>
        </w:trPr>
        <w:tc>
          <w:tcPr>
            <w:tcW w:type="dxa" w:w="3312"/>
            <w:shd w:fill="EAE5DA"/>
          </w:tcPr>
          <w:p>
            <w:pPr>
              <w:pStyle w:val="BodyText"/>
              <w:keepNext w:val="0"/>
              <w:spacing w:after="80" w:line="252" w:lineRule="auto"/>
              <w:jc w:val="left"/>
            </w:pPr>
            <w:r>
              <w:rPr>
                <w:rFonts w:ascii="Calibri" w:hAnsi="Calibri"/>
                <w:b/>
                <w:sz w:val="17"/>
              </w:rPr>
              <w:t xml:space="preserve">Delete</w:t>
            </w:r>
          </w:p>
        </w:tc>
        <w:tc>
          <w:tcPr>
            <w:tcW w:type="dxa" w:w="3312"/>
            <w:shd w:fill="EAE5DA"/>
          </w:tcPr>
          <w:p>
            <w:pPr>
              <w:pStyle w:val="BodyText"/>
              <w:keepNext w:val="0"/>
              <w:spacing w:after="80" w:line="252" w:lineRule="auto"/>
              <w:jc w:val="left"/>
            </w:pPr>
            <w:r>
              <w:rPr>
                <w:rFonts w:ascii="Calibri" w:hAnsi="Calibri"/>
                <w:b/>
                <w:sz w:val="17"/>
              </w:rPr>
              <w:t xml:space="preserve">Retained-clause witness</w:t>
            </w:r>
          </w:p>
        </w:tc>
        <w:tc>
          <w:tcPr>
            <w:tcW w:type="dxa" w:w="3312"/>
            <w:shd w:fill="EAE5DA"/>
          </w:tcPr>
          <w:p>
            <w:pPr>
              <w:pStyle w:val="BodyText"/>
              <w:keepNext w:val="0"/>
              <w:spacing w:after="80" w:line="252" w:lineRule="auto"/>
              <w:jc w:val="left"/>
            </w:pPr>
            <w:r>
              <w:rPr>
                <w:rFonts w:ascii="Calibri" w:hAnsi="Calibri"/>
                <w:b/>
                <w:sz w:val="17"/>
              </w:rPr>
              <w:t xml:space="preserve">Consequence lost</w:t>
            </w:r>
          </w:p>
        </w:tc>
      </w:tr>
      <w:tr>
        <w:tc>
          <w:tcPr>
            <w:tcW w:type="dxa" w:w="3312"/>
          </w:tcPr>
          <w:p>
            <w:pPr>
              <w:pStyle w:val="BodyText"/>
              <w:keepNext w:val="0"/>
              <w:spacing w:after="80" w:line="252" w:lineRule="auto"/>
              <w:jc w:val="left"/>
            </w:pPr>
            <w:r>
              <w:rPr>
                <w:rFonts w:ascii="Calibri" w:hAnsi="Calibri"/>
                <w:sz w:val="17"/>
              </w:rPr>
              <w:t xml:space="preserve">G</w:t>
            </w:r>
          </w:p>
        </w:tc>
        <w:tc>
          <w:tcPr>
            <w:tcW w:type="dxa" w:w="3312"/>
          </w:tcPr>
          <w:p>
            <w:pPr>
              <w:pStyle w:val="BodyText"/>
              <w:keepNext w:val="0"/>
              <w:spacing w:after="80" w:line="252" w:lineRule="auto"/>
              <w:jc w:val="left"/>
            </w:pPr>
            <w:r>
              <w:rPr>
                <w:rFonts w:ascii="Calibri" w:hAnsi="Calibri"/>
                <w:sz w:val="17"/>
              </w:rPr>
              <w:t xml:space="preserve">Deistic or immanent remainder: some actual perfection persists without the designated source.</w:t>
            </w:r>
          </w:p>
        </w:tc>
        <w:tc>
          <w:tcPr>
            <w:tcW w:type="dxa" w:w="3312"/>
          </w:tcPr>
          <w:p>
            <w:pPr>
              <w:pStyle w:val="BodyText"/>
              <w:keepNext w:val="0"/>
              <w:spacing w:after="80" w:line="252" w:lineRule="auto"/>
              <w:jc w:val="left"/>
            </w:pPr>
            <w:r>
              <w:rPr>
                <w:rFonts w:ascii="Calibri" w:hAnsi="Calibri"/>
                <w:sz w:val="17"/>
              </w:rPr>
              <w:t xml:space="preserve">A genuinely actual creature with no source remains possible. Dependence</w:t>
            </w:r>
            <w:r>
              <w:rPr>
                <w:rFonts w:ascii="Calibri" w:hAnsi="Calibri"/>
                <w:sz w:val="17"/>
              </w:rPr>
              <w:t xml:space="preserve"> </w:t>
            </w:r>
            <w:r>
              <w:rPr>
                <w:rFonts w:ascii="Calibri" w:hAnsi="Calibri"/>
                <w:sz w:val="17"/>
              </w:rPr>
              <w:t xml:space="preserve">“</w:t>
            </w:r>
            <w:r>
              <w:rPr>
                <w:rFonts w:ascii="Calibri" w:hAnsi="Calibri"/>
                <w:sz w:val="17"/>
              </w:rPr>
              <w:t xml:space="preserve">in every moment</w:t>
            </w:r>
            <w:r>
              <w:rPr>
                <w:rFonts w:ascii="Calibri" w:hAnsi="Calibri"/>
                <w:sz w:val="17"/>
              </w:rPr>
              <w:t xml:space="preserve">”</w:t>
            </w:r>
            <w:r>
              <w:rPr>
                <w:rFonts w:ascii="Calibri" w:hAnsi="Calibri"/>
                <w:sz w:val="17"/>
              </w:rPr>
              <w:t xml:space="preserve"> </w:t>
            </w:r>
            <w:r>
              <w:rPr>
                <w:rFonts w:ascii="Calibri" w:hAnsi="Calibri"/>
                <w:sz w:val="17"/>
              </w:rPr>
              <w:t xml:space="preserve">cannot then be claimed.</w:t>
            </w:r>
          </w:p>
        </w:tc>
      </w:tr>
      <w:tr>
        <w:tc>
          <w:tcPr>
            <w:tcW w:type="dxa" w:w="3312"/>
          </w:tcPr>
          <w:p>
            <w:pPr>
              <w:pStyle w:val="BodyText"/>
              <w:keepNext w:val="0"/>
              <w:spacing w:after="80" w:line="252" w:lineRule="auto"/>
              <w:jc w:val="left"/>
            </w:pPr>
            <w:r>
              <w:rPr>
                <w:rFonts w:ascii="Calibri" w:hAnsi="Calibri"/>
                <w:sz w:val="17"/>
              </w:rPr>
              <w:t xml:space="preserve">CP</w:t>
            </w:r>
          </w:p>
        </w:tc>
        <w:tc>
          <w:tcPr>
            <w:tcW w:type="dxa" w:w="3312"/>
          </w:tcPr>
          <w:p>
            <w:pPr>
              <w:pStyle w:val="BodyText"/>
              <w:keepNext w:val="0"/>
              <w:spacing w:after="80" w:line="252" w:lineRule="auto"/>
              <w:jc w:val="left"/>
            </w:pPr>
            <w:r>
              <w:rPr>
                <w:rFonts w:ascii="Calibri" w:hAnsi="Calibri"/>
                <w:sz w:val="17"/>
              </w:rPr>
              <w:t xml:space="preserve">A merely succession-based causal model, with C but no corresponding D.</w:t>
            </w:r>
          </w:p>
        </w:tc>
        <w:tc>
          <w:tcPr>
            <w:tcW w:type="dxa" w:w="3312"/>
          </w:tcPr>
          <w:p>
            <w:pPr>
              <w:pStyle w:val="BodyText"/>
              <w:keepNext w:val="0"/>
              <w:spacing w:after="80" w:line="252" w:lineRule="auto"/>
              <w:jc w:val="left"/>
            </w:pPr>
            <w:r>
              <w:rPr>
                <w:rFonts w:ascii="Calibri" w:hAnsi="Calibri"/>
                <w:sz w:val="17"/>
              </w:rPr>
              <w:t xml:space="preserve">Causal arrows can coexist with no ontological dependence. Production no longer establishes the Creator–creature interval.</w:t>
            </w:r>
          </w:p>
        </w:tc>
      </w:tr>
      <w:tr>
        <w:tc>
          <w:tcPr>
            <w:tcW w:type="dxa" w:w="3312"/>
          </w:tcPr>
          <w:p>
            <w:pPr>
              <w:pStyle w:val="BodyText"/>
              <w:keepNext w:val="0"/>
              <w:spacing w:after="80" w:line="252" w:lineRule="auto"/>
              <w:jc w:val="left"/>
            </w:pPr>
            <w:r>
              <w:rPr>
                <w:rFonts w:ascii="Calibri" w:hAnsi="Calibri"/>
                <w:sz w:val="17"/>
              </w:rPr>
              <w:t xml:space="preserve">U</w:t>
            </w:r>
          </w:p>
        </w:tc>
        <w:tc>
          <w:tcPr>
            <w:tcW w:type="dxa" w:w="3312"/>
          </w:tcPr>
          <w:p>
            <w:pPr>
              <w:pStyle w:val="BodyText"/>
              <w:keepNext w:val="0"/>
              <w:spacing w:after="80" w:line="252" w:lineRule="auto"/>
              <w:jc w:val="left"/>
            </w:pPr>
            <w:r>
              <w:rPr>
                <w:rFonts w:ascii="Calibri" w:hAnsi="Calibri"/>
                <w:sz w:val="17"/>
              </w:rPr>
              <w:t xml:space="preserve">A source whose actuality is grounded in an actual creature, despite its unlimited mode.</w:t>
            </w:r>
          </w:p>
        </w:tc>
        <w:tc>
          <w:tcPr>
            <w:tcW w:type="dxa" w:w="3312"/>
          </w:tcPr>
          <w:p>
            <w:pPr>
              <w:pStyle w:val="BodyText"/>
              <w:keepNext w:val="0"/>
              <w:spacing w:after="80" w:line="252" w:lineRule="auto"/>
              <w:jc w:val="left"/>
            </w:pPr>
            <w:r>
              <w:rPr>
                <w:rFonts w:ascii="Calibri" w:hAnsi="Calibri"/>
                <w:sz w:val="17"/>
              </w:rPr>
              <w:t xml:space="preserve">An unlimited source may itself depend upon another. A cycle of grounding or divine completion is admitted.</w:t>
            </w:r>
          </w:p>
        </w:tc>
      </w:tr>
      <w:tr>
        <w:tc>
          <w:tcPr>
            <w:tcW w:type="dxa" w:w="3312"/>
          </w:tcPr>
          <w:p>
            <w:pPr>
              <w:pStyle w:val="BodyText"/>
              <w:keepNext w:val="0"/>
              <w:spacing w:after="80" w:line="252" w:lineRule="auto"/>
              <w:jc w:val="left"/>
            </w:pPr>
            <w:r>
              <w:rPr>
                <w:rFonts w:ascii="Calibri" w:hAnsi="Calibri"/>
                <w:sz w:val="17"/>
              </w:rPr>
              <w:t xml:space="preserve">Q</w:t>
            </w:r>
          </w:p>
        </w:tc>
        <w:tc>
          <w:tcPr>
            <w:tcW w:type="dxa" w:w="3312"/>
          </w:tcPr>
          <w:p>
            <w:pPr>
              <w:pStyle w:val="BodyText"/>
              <w:keepNext w:val="0"/>
              <w:spacing w:after="80" w:line="252" w:lineRule="auto"/>
              <w:jc w:val="left"/>
            </w:pPr>
            <w:r>
              <w:rPr>
                <w:rFonts w:ascii="Calibri" w:hAnsi="Calibri"/>
                <w:sz w:val="17"/>
              </w:rPr>
              <w:t xml:space="preserve">An opaque source causes a living effect while no corresponding life can be attributed to the source.</w:t>
            </w:r>
          </w:p>
        </w:tc>
        <w:tc>
          <w:tcPr>
            <w:tcW w:type="dxa" w:w="3312"/>
          </w:tcPr>
          <w:p>
            <w:pPr>
              <w:pStyle w:val="BodyText"/>
              <w:keepNext w:val="0"/>
              <w:spacing w:after="80" w:line="252" w:lineRule="auto"/>
              <w:jc w:val="left"/>
            </w:pPr>
            <w:r>
              <w:rPr>
                <w:rFonts w:ascii="Calibri" w:hAnsi="Calibri"/>
                <w:sz w:val="17"/>
              </w:rPr>
              <w:t xml:space="preserve">Causation no longer establishes corresponding source-perfection for an additional content q; likeness and manifestation in that respect become underivable. Shared existential actuality can remain.</w:t>
            </w:r>
          </w:p>
        </w:tc>
      </w:tr>
      <w:tr>
        <w:tc>
          <w:tcPr>
            <w:tcW w:type="dxa" w:w="3312"/>
          </w:tcPr>
          <w:p>
            <w:pPr>
              <w:pStyle w:val="BodyText"/>
              <w:keepNext w:val="0"/>
              <w:spacing w:after="80" w:line="252" w:lineRule="auto"/>
              <w:jc w:val="left"/>
            </w:pPr>
            <w:r>
              <w:rPr>
                <w:rFonts w:ascii="Calibri" w:hAnsi="Calibri"/>
                <w:sz w:val="17"/>
              </w:rPr>
              <w:t xml:space="preserve">KD</w:t>
            </w:r>
          </w:p>
        </w:tc>
        <w:tc>
          <w:tcPr>
            <w:tcW w:type="dxa" w:w="3312"/>
          </w:tcPr>
          <w:p>
            <w:pPr>
              <w:pStyle w:val="BodyText"/>
              <w:keepNext w:val="0"/>
              <w:spacing w:after="80" w:line="252" w:lineRule="auto"/>
              <w:jc w:val="left"/>
            </w:pPr>
            <w:r>
              <w:rPr>
                <w:rFonts w:ascii="Calibri" w:hAnsi="Calibri"/>
                <w:sz w:val="17"/>
              </w:rPr>
              <w:t xml:space="preserve">An uncaused but composite deity. Simplicity does not follow from</w:t>
            </w:r>
            <w:r>
              <w:rPr>
                <w:rFonts w:ascii="Calibri" w:hAnsi="Calibri"/>
                <w:sz w:val="17"/>
              </w:rPr>
              <w:t xml:space="preserve"> </w:t>
            </w:r>
            <w:r>
              <w:rPr>
                <w:rFonts w:ascii="Calibri" w:hAnsi="Calibri"/>
                <w:sz w:val="17"/>
              </w:rPr>
              <w:t xml:space="preserve">“</w:t>
            </w:r>
            <w:r>
              <w:rPr>
                <w:rFonts w:ascii="Calibri" w:hAnsi="Calibri"/>
                <w:sz w:val="17"/>
              </w:rPr>
              <w:t xml:space="preserve">uncaused</w:t>
            </w:r>
            <w:r>
              <w:rPr>
                <w:rFonts w:ascii="Calibri" w:hAnsi="Calibri"/>
                <w:sz w:val="17"/>
              </w:rPr>
              <w:t xml:space="preserve">”</w:t>
            </w:r>
            <w:r>
              <w:rPr>
                <w:rFonts w:ascii="Calibri" w:hAnsi="Calibri"/>
                <w:sz w:val="17"/>
              </w:rPr>
              <w:t xml:space="preserve"> </w:t>
            </w:r>
            <w:r>
              <w:rPr>
                <w:rFonts w:ascii="Calibri" w:hAnsi="Calibri"/>
                <w:sz w:val="17"/>
              </w:rPr>
              <w:t xml:space="preserve">alone.</w:t>
            </w:r>
          </w:p>
        </w:tc>
        <w:tc>
          <w:tcPr>
            <w:tcW w:type="dxa" w:w="3312"/>
          </w:tcPr>
          <w:p>
            <w:pPr>
              <w:pStyle w:val="BodyText"/>
              <w:keepNext w:val="0"/>
              <w:spacing w:after="80" w:line="252" w:lineRule="auto"/>
              <w:jc w:val="left"/>
            </w:pPr>
            <w:r>
              <w:rPr>
                <w:rFonts w:ascii="Calibri" w:hAnsi="Calibri"/>
                <w:sz w:val="17"/>
              </w:rPr>
              <w:t xml:space="preserve">A composite source can simply be stipulated independent of its own intrinsic parts.</w:t>
            </w:r>
          </w:p>
        </w:tc>
      </w:tr>
      <w:tr>
        <w:tc>
          <w:tcPr>
            <w:tcW w:type="dxa" w:w="3312"/>
          </w:tcPr>
          <w:p>
            <w:pPr>
              <w:pStyle w:val="BodyText"/>
              <w:keepNext w:val="0"/>
              <w:spacing w:after="80" w:line="252" w:lineRule="auto"/>
              <w:jc w:val="left"/>
            </w:pPr>
            <w:r>
              <w:rPr>
                <w:rFonts w:ascii="Calibri" w:hAnsi="Calibri"/>
                <w:sz w:val="17"/>
              </w:rPr>
              <w:t xml:space="preserve">KH</w:t>
            </w:r>
          </w:p>
        </w:tc>
        <w:tc>
          <w:tcPr>
            <w:tcW w:type="dxa" w:w="3312"/>
          </w:tcPr>
          <w:p>
            <w:pPr>
              <w:pStyle w:val="BodyText"/>
              <w:keepNext w:val="0"/>
              <w:spacing w:after="80" w:line="252" w:lineRule="auto"/>
              <w:jc w:val="left"/>
            </w:pPr>
            <w:r>
              <w:rPr>
                <w:rFonts w:ascii="Calibri" w:hAnsi="Calibri"/>
                <w:sz w:val="17"/>
              </w:rPr>
              <w:t xml:space="preserve">A panentheistic constituent-model: the source belongs to the creature without transferring its unlimited capacity.</w:t>
            </w:r>
          </w:p>
        </w:tc>
        <w:tc>
          <w:tcPr>
            <w:tcW w:type="dxa" w:w="3312"/>
          </w:tcPr>
          <w:p>
            <w:pPr>
              <w:pStyle w:val="BodyText"/>
              <w:keepNext w:val="0"/>
              <w:spacing w:after="80" w:line="252" w:lineRule="auto"/>
              <w:jc w:val="left"/>
            </w:pPr>
            <w:r>
              <w:rPr>
                <w:rFonts w:ascii="Calibri" w:hAnsi="Calibri"/>
                <w:sz w:val="17"/>
              </w:rPr>
              <w:t xml:space="preserve">An unlimited source may be stipulated an intrinsic constituent of a finite creature.</w:t>
            </w:r>
          </w:p>
        </w:tc>
      </w:tr>
      <w:tr>
        <w:tc>
          <w:tcPr>
            <w:tcW w:type="dxa" w:w="3312"/>
          </w:tcPr>
          <w:p>
            <w:pPr>
              <w:pStyle w:val="BodyText"/>
              <w:keepNext w:val="0"/>
              <w:spacing w:after="80" w:line="252" w:lineRule="auto"/>
              <w:jc w:val="left"/>
            </w:pPr>
            <w:r>
              <w:rPr>
                <w:rFonts w:ascii="Calibri" w:hAnsi="Calibri"/>
                <w:sz w:val="17"/>
              </w:rPr>
              <w:t xml:space="preserve">FS</w:t>
            </w:r>
          </w:p>
        </w:tc>
        <w:tc>
          <w:tcPr>
            <w:tcW w:type="dxa" w:w="3312"/>
          </w:tcPr>
          <w:p>
            <w:pPr>
              <w:pStyle w:val="BodyText"/>
              <w:keepNext w:val="0"/>
              <w:spacing w:after="80" w:line="252" w:lineRule="auto"/>
              <w:jc w:val="left"/>
            </w:pPr>
            <w:r>
              <w:rPr>
                <w:rFonts w:ascii="Calibri" w:hAnsi="Calibri"/>
                <w:sz w:val="17"/>
              </w:rPr>
              <w:t xml:space="preserve">A finite ultimate artisan: underivation and noncomposition remain, but inexhaustibility does not.</w:t>
            </w:r>
          </w:p>
        </w:tc>
        <w:tc>
          <w:tcPr>
            <w:tcW w:type="dxa" w:w="3312"/>
          </w:tcPr>
          <w:p>
            <w:pPr>
              <w:pStyle w:val="BodyText"/>
              <w:keepNext w:val="0"/>
              <w:spacing w:after="80" w:line="252" w:lineRule="auto"/>
              <w:jc w:val="left"/>
            </w:pPr>
            <w:r>
              <w:rPr>
                <w:rFonts w:ascii="Calibri" w:hAnsi="Calibri"/>
                <w:sz w:val="17"/>
              </w:rPr>
              <w:t xml:space="preserve">An underived, simple, finite source is possible; some finite expression can match its measure.</w:t>
            </w:r>
          </w:p>
        </w:tc>
      </w:tr>
      <w:tr>
        <w:tc>
          <w:tcPr>
            <w:tcW w:type="dxa" w:w="3312"/>
          </w:tcPr>
          <w:p>
            <w:pPr>
              <w:pStyle w:val="BodyText"/>
              <w:keepNext w:val="0"/>
              <w:spacing w:after="80" w:line="252" w:lineRule="auto"/>
              <w:jc w:val="left"/>
            </w:pPr>
            <w:r>
              <w:rPr>
                <w:rFonts w:ascii="Calibri" w:hAnsi="Calibri"/>
                <w:sz w:val="17"/>
              </w:rPr>
              <w:t xml:space="preserve">FC</w:t>
            </w:r>
          </w:p>
        </w:tc>
        <w:tc>
          <w:tcPr>
            <w:tcW w:type="dxa" w:w="3312"/>
          </w:tcPr>
          <w:p>
            <w:pPr>
              <w:pStyle w:val="BodyText"/>
              <w:keepNext w:val="0"/>
              <w:spacing w:after="80" w:line="252" w:lineRule="auto"/>
              <w:jc w:val="left"/>
            </w:pPr>
            <w:r>
              <w:rPr>
                <w:rFonts w:ascii="Calibri" w:hAnsi="Calibri"/>
                <w:sz w:val="17"/>
              </w:rPr>
              <w:t xml:space="preserve">An unlimited derived effect that matches the source’s measure without becoming numerically identical.</w:t>
            </w:r>
          </w:p>
        </w:tc>
        <w:tc>
          <w:tcPr>
            <w:tcW w:type="dxa" w:w="3312"/>
          </w:tcPr>
          <w:p>
            <w:pPr>
              <w:pStyle w:val="BodyText"/>
              <w:keepNext w:val="0"/>
              <w:spacing w:after="80" w:line="252" w:lineRule="auto"/>
              <w:jc w:val="left"/>
            </w:pPr>
            <w:r>
              <w:rPr>
                <w:rFonts w:ascii="Calibri" w:hAnsi="Calibri"/>
                <w:sz w:val="17"/>
              </w:rPr>
              <w:t xml:space="preserve">An other can possess the source’s unlimited measure. Nonidentity survives, but finite non-exhaustion is lost.</w:t>
            </w:r>
          </w:p>
        </w:tc>
      </w:tr>
      <w:tr>
        <w:tc>
          <w:tcPr>
            <w:tcW w:type="dxa" w:w="3312"/>
          </w:tcPr>
          <w:p>
            <w:pPr>
              <w:pStyle w:val="BodyText"/>
              <w:keepNext w:val="0"/>
              <w:spacing w:after="80" w:line="252" w:lineRule="auto"/>
              <w:jc w:val="left"/>
            </w:pPr>
            <w:r>
              <w:rPr>
                <w:rFonts w:ascii="Calibri" w:hAnsi="Calibri"/>
                <w:sz w:val="17"/>
              </w:rPr>
              <w:t xml:space="preserve">X</w:t>
            </w:r>
          </w:p>
        </w:tc>
        <w:tc>
          <w:tcPr>
            <w:tcW w:type="dxa" w:w="3312"/>
          </w:tcPr>
          <w:p>
            <w:pPr>
              <w:pStyle w:val="BodyText"/>
              <w:keepNext w:val="0"/>
              <w:spacing w:after="80" w:line="252" w:lineRule="auto"/>
              <w:jc w:val="left"/>
            </w:pPr>
            <w:r>
              <w:rPr>
                <w:rFonts w:ascii="Calibri" w:hAnsi="Calibri"/>
                <w:sz w:val="17"/>
              </w:rPr>
              <w:t xml:space="preserve">An intrinsically responsive deity. Independence within each possible world does not establish the same intrinsic actuality across different possible worlds.</w:t>
            </w:r>
          </w:p>
        </w:tc>
        <w:tc>
          <w:tcPr>
            <w:tcW w:type="dxa" w:w="3312"/>
          </w:tcPr>
          <w:p>
            <w:pPr>
              <w:pStyle w:val="BodyText"/>
              <w:keepNext w:val="0"/>
              <w:spacing w:after="80" w:line="252" w:lineRule="auto"/>
              <w:jc w:val="left"/>
            </w:pPr>
            <w:r>
              <w:rPr>
                <w:rFonts w:ascii="Calibri" w:hAnsi="Calibri"/>
                <w:sz w:val="17"/>
              </w:rPr>
              <w:t xml:space="preserve">Different created histories may be correlated with different intrinsic states of the source, without those effects grounding the source’s actuality within either possible world.</w:t>
            </w:r>
          </w:p>
        </w:tc>
      </w:tr>
    </w:tbl>
    <w:p>
      <w:pPr>
        <w:pStyle w:val="BodyText"/>
      </w:pPr>
      <w:r>
        <w:t xml:space="preserve">The formal dossier supplies actual sparse valuations for all nine clauses. The accompanying evaluator independently interprets H, C, D, K, modes, and the source profile; it checks every retained clause rather than storing axiom truth flags. These are model-relative independence witnesses, not proofs that rival universes satisfy every defensible metaphysical principle.</w:t>
      </w:r>
    </w:p>
    <w:p>
      <w:pPr>
        <w:pStyle w:val="BodyText"/>
      </w:pPr>
      <w:r>
        <w:t xml:space="preserve">Primitive deletion tests are information-loss tests: without C, productive causality is indistinguishable from other grounding; without D, the grounding consequence is unrepresented; without H, causal graphs determine no qualitative resemblance; without K, nonconstituency is inexpressible; without intrinsic profile comparison, X is lost; without mode information, finite/infinite distinctions are lost. A was genuinely eliminated. No theorem of undefinability across every possible vocabulary is claimed.</w:t>
      </w:r>
    </w:p>
    <w:bookmarkEnd w:id="321"/>
    <w:bookmarkStart w:id="322" w:name="rival-ontologies-and-modal-test"/>
    <w:p>
      <w:pPr>
        <w:pStyle w:val="Heading3"/>
      </w:pPr>
      <w:r>
        <w:t xml:space="preserve">6. Rival ontologies and modal test</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Rival</w:t>
            </w:r>
          </w:p>
        </w:tc>
        <w:tc>
          <w:tcPr>
            <w:tcW w:type="dxa" w:w="7452"/>
            <w:shd w:fill="EAE5DA"/>
          </w:tcPr>
          <w:p>
            <w:pPr>
              <w:pStyle w:val="BodyText"/>
              <w:keepNext w:val="0"/>
              <w:spacing w:after="80" w:line="252" w:lineRule="auto"/>
              <w:jc w:val="left"/>
            </w:pPr>
            <w:r>
              <w:rPr>
                <w:rFonts w:ascii="Calibri" w:hAnsi="Calibri"/>
                <w:b/>
                <w:sz w:val="17"/>
              </w:rPr>
              <w:t xml:space="preserve">What discriminates it</w:t>
            </w:r>
          </w:p>
        </w:tc>
      </w:tr>
      <w:tr>
        <w:tc>
          <w:tcPr>
            <w:tcW w:type="dxa" w:w="2484"/>
          </w:tcPr>
          <w:p>
            <w:pPr>
              <w:pStyle w:val="BodyText"/>
              <w:keepNext w:val="0"/>
              <w:spacing w:after="80" w:line="252" w:lineRule="auto"/>
              <w:jc w:val="left"/>
            </w:pPr>
            <w:r>
              <w:rPr>
                <w:rFonts w:ascii="Calibri" w:hAnsi="Calibri"/>
                <w:sz w:val="17"/>
              </w:rPr>
              <w:t xml:space="preserve">Platonism</w:t>
            </w:r>
          </w:p>
        </w:tc>
        <w:tc>
          <w:tcPr>
            <w:tcW w:type="dxa" w:w="7452"/>
          </w:tcPr>
          <w:p>
            <w:pPr>
              <w:pStyle w:val="BodyText"/>
              <w:keepNext w:val="0"/>
              <w:spacing w:after="80" w:line="252" w:lineRule="auto"/>
              <w:jc w:val="left"/>
            </w:pPr>
            <w:r>
              <w:rPr>
                <w:rFonts w:ascii="Calibri" w:hAnsi="Calibri"/>
                <w:sz w:val="17"/>
              </w:rPr>
              <w:t xml:space="preserve">Underived actual productive Forms in scope violate G + CP. Inert abstracta remain open; the explanation does not need them.</w:t>
            </w:r>
          </w:p>
        </w:tc>
      </w:tr>
      <w:tr>
        <w:tc>
          <w:tcPr>
            <w:tcW w:type="dxa" w:w="2484"/>
          </w:tcPr>
          <w:p>
            <w:pPr>
              <w:pStyle w:val="BodyText"/>
              <w:keepNext w:val="0"/>
              <w:spacing w:after="80" w:line="252" w:lineRule="auto"/>
              <w:jc w:val="left"/>
            </w:pPr>
            <w:r>
              <w:rPr>
                <w:rFonts w:ascii="Calibri" w:hAnsi="Calibri"/>
                <w:sz w:val="17"/>
              </w:rPr>
              <w:t xml:space="preserve">Identity-pantheism</w:t>
            </w:r>
          </w:p>
        </w:tc>
        <w:tc>
          <w:tcPr>
            <w:tcW w:type="dxa" w:w="7452"/>
          </w:tcPr>
          <w:p>
            <w:pPr>
              <w:pStyle w:val="BodyText"/>
              <w:keepNext w:val="0"/>
              <w:spacing w:after="80" w:line="252" w:lineRule="auto"/>
              <w:jc w:val="left"/>
            </w:pPr>
            <w:r>
              <w:rPr>
                <w:rFonts w:ascii="Calibri" w:hAnsi="Calibri"/>
                <w:sz w:val="17"/>
              </w:rPr>
              <w:t xml:space="preserve">CP + U exclude source-caused effects identical with their source. Mode-based substance theories require further inherence analysis.</w:t>
            </w:r>
          </w:p>
        </w:tc>
      </w:tr>
      <w:tr>
        <w:tc>
          <w:tcPr>
            <w:tcW w:type="dxa" w:w="2484"/>
          </w:tcPr>
          <w:p>
            <w:pPr>
              <w:pStyle w:val="BodyText"/>
              <w:keepNext w:val="0"/>
              <w:spacing w:after="80" w:line="252" w:lineRule="auto"/>
              <w:jc w:val="left"/>
            </w:pPr>
            <w:r>
              <w:rPr>
                <w:rFonts w:ascii="Calibri" w:hAnsi="Calibri"/>
                <w:sz w:val="17"/>
              </w:rPr>
              <w:t xml:space="preserve">Constituent panentheism</w:t>
            </w:r>
          </w:p>
        </w:tc>
        <w:tc>
          <w:tcPr>
            <w:tcW w:type="dxa" w:w="7452"/>
          </w:tcPr>
          <w:p>
            <w:pPr>
              <w:pStyle w:val="BodyText"/>
              <w:keepNext w:val="0"/>
              <w:spacing w:after="80" w:line="252" w:lineRule="auto"/>
              <w:jc w:val="left"/>
            </w:pPr>
            <w:r>
              <w:rPr>
                <w:rFonts w:ascii="Calibri" w:hAnsi="Calibri"/>
                <w:sz w:val="17"/>
              </w:rPr>
              <w:t xml:space="preserve">KD + U and KH + FS + FC exclude proper mutual incorporation. Other meanings of</w:t>
            </w:r>
            <w:r>
              <w:rPr>
                <w:rFonts w:ascii="Calibri" w:hAnsi="Calibri"/>
                <w:sz w:val="17"/>
              </w:rPr>
              <w:t xml:space="preserve"> </w:t>
            </w:r>
            <w:r>
              <w:rPr>
                <w:rFonts w:ascii="Calibri" w:hAnsi="Calibri"/>
                <w:sz w:val="17"/>
              </w:rPr>
              <w:t xml:space="preserve">“</w:t>
            </w:r>
            <w:r>
              <w:rPr>
                <w:rFonts w:ascii="Calibri" w:hAnsi="Calibri"/>
                <w:sz w:val="17"/>
              </w:rPr>
              <w:t xml:space="preserve">in God</w:t>
            </w:r>
            <w:r>
              <w:rPr>
                <w:rFonts w:ascii="Calibri" w:hAnsi="Calibri"/>
                <w:sz w:val="17"/>
              </w:rPr>
              <w:t xml:space="preserve">”</w:t>
            </w:r>
            <w:r>
              <w:rPr>
                <w:rFonts w:ascii="Calibri" w:hAnsi="Calibri"/>
                <w:sz w:val="17"/>
              </w:rPr>
              <w:t xml:space="preserve"> </w:t>
            </w:r>
            <w:r>
              <w:rPr>
                <w:rFonts w:ascii="Calibri" w:hAnsi="Calibri"/>
                <w:sz w:val="17"/>
              </w:rPr>
              <w:t xml:space="preserve">are not settled by the label.</w:t>
            </w:r>
          </w:p>
        </w:tc>
      </w:tr>
      <w:tr>
        <w:tc>
          <w:tcPr>
            <w:tcW w:type="dxa" w:w="2484"/>
          </w:tcPr>
          <w:p>
            <w:pPr>
              <w:pStyle w:val="BodyText"/>
              <w:keepNext w:val="0"/>
              <w:spacing w:after="80" w:line="252" w:lineRule="auto"/>
              <w:jc w:val="left"/>
            </w:pPr>
            <w:r>
              <w:rPr>
                <w:rFonts w:ascii="Calibri" w:hAnsi="Calibri"/>
                <w:sz w:val="17"/>
              </w:rPr>
              <w:t xml:space="preserve">Occasionalism</w:t>
            </w:r>
          </w:p>
        </w:tc>
        <w:tc>
          <w:tcPr>
            <w:tcW w:type="dxa" w:w="7452"/>
          </w:tcPr>
          <w:p>
            <w:pPr>
              <w:pStyle w:val="BodyText"/>
              <w:keepNext w:val="0"/>
              <w:spacing w:after="80" w:line="252" w:lineRule="auto"/>
              <w:jc w:val="left"/>
            </w:pPr>
            <w:r>
              <w:rPr>
                <w:rFonts w:ascii="Calibri" w:hAnsi="Calibri"/>
                <w:sz w:val="17"/>
              </w:rPr>
              <w:t xml:space="preserve">Compatible. Add actual secondary powers and ordered concurrence to establish creaturely agency.</w:t>
            </w:r>
          </w:p>
        </w:tc>
      </w:tr>
      <w:tr>
        <w:tc>
          <w:tcPr>
            <w:tcW w:type="dxa" w:w="2484"/>
          </w:tcPr>
          <w:p>
            <w:pPr>
              <w:pStyle w:val="BodyText"/>
              <w:keepNext w:val="0"/>
              <w:spacing w:after="80" w:line="252" w:lineRule="auto"/>
              <w:jc w:val="left"/>
            </w:pPr>
            <w:r>
              <w:rPr>
                <w:rFonts w:ascii="Calibri" w:hAnsi="Calibri"/>
                <w:sz w:val="17"/>
              </w:rPr>
              <w:t xml:space="preserve">Necessary emanation</w:t>
            </w:r>
          </w:p>
        </w:tc>
        <w:tc>
          <w:tcPr>
            <w:tcW w:type="dxa" w:w="7452"/>
          </w:tcPr>
          <w:p>
            <w:pPr>
              <w:pStyle w:val="BodyText"/>
              <w:keepNext w:val="0"/>
              <w:spacing w:after="80" w:line="252" w:lineRule="auto"/>
              <w:jc w:val="left"/>
            </w:pPr>
            <w:r>
              <w:rPr>
                <w:rFonts w:ascii="Calibri" w:hAnsi="Calibri"/>
                <w:sz w:val="17"/>
              </w:rPr>
              <w:t xml:space="preserve">Compatible. An unlimited source may necessitate a finite non-exhaustive effect. Alternatives are extra.</w:t>
            </w:r>
          </w:p>
        </w:tc>
      </w:tr>
      <w:tr>
        <w:tc>
          <w:tcPr>
            <w:tcW w:type="dxa" w:w="2484"/>
          </w:tcPr>
          <w:p>
            <w:pPr>
              <w:pStyle w:val="BodyText"/>
              <w:keepNext w:val="0"/>
              <w:spacing w:after="80" w:line="252" w:lineRule="auto"/>
              <w:jc w:val="left"/>
            </w:pPr>
            <w:r>
              <w:rPr>
                <w:rFonts w:ascii="Calibri" w:hAnsi="Calibri"/>
                <w:sz w:val="17"/>
              </w:rPr>
              <w:t xml:space="preserve">Deism</w:t>
            </w:r>
          </w:p>
        </w:tc>
        <w:tc>
          <w:tcPr>
            <w:tcW w:type="dxa" w:w="7452"/>
          </w:tcPr>
          <w:p>
            <w:pPr>
              <w:pStyle w:val="BodyText"/>
              <w:keepNext w:val="0"/>
              <w:spacing w:after="80" w:line="252" w:lineRule="auto"/>
              <w:jc w:val="left"/>
            </w:pPr>
            <w:r>
              <w:rPr>
                <w:rFonts w:ascii="Calibri" w:hAnsi="Calibri"/>
                <w:sz w:val="17"/>
              </w:rPr>
              <w:t xml:space="preserve">G, interpreted as present existential sustenance, excludes detached effects. Historical production alone is insufficient.</w:t>
            </w:r>
          </w:p>
        </w:tc>
      </w:tr>
      <w:tr>
        <w:tc>
          <w:tcPr>
            <w:tcW w:type="dxa" w:w="2484"/>
          </w:tcPr>
          <w:p>
            <w:pPr>
              <w:pStyle w:val="BodyText"/>
              <w:keepNext w:val="0"/>
              <w:spacing w:after="80" w:line="252" w:lineRule="auto"/>
              <w:jc w:val="left"/>
            </w:pPr>
            <w:r>
              <w:rPr>
                <w:rFonts w:ascii="Calibri" w:hAnsi="Calibri"/>
                <w:sz w:val="17"/>
              </w:rPr>
              <w:t xml:space="preserve">Absolute idealism</w:t>
            </w:r>
          </w:p>
        </w:tc>
        <w:tc>
          <w:tcPr>
            <w:tcW w:type="dxa" w:w="7452"/>
          </w:tcPr>
          <w:p>
            <w:pPr>
              <w:pStyle w:val="BodyText"/>
              <w:keepNext w:val="0"/>
              <w:spacing w:after="80" w:line="252" w:lineRule="auto"/>
              <w:jc w:val="left"/>
            </w:pPr>
            <w:r>
              <w:rPr>
                <w:rFonts w:ascii="Calibri" w:hAnsi="Calibri"/>
                <w:sz w:val="17"/>
              </w:rPr>
              <w:t xml:space="preserve">Identity versions fail; genuinely other mental effects are not excluded without additional ontology.</w:t>
            </w:r>
          </w:p>
        </w:tc>
      </w:tr>
      <w:tr>
        <w:tc>
          <w:tcPr>
            <w:tcW w:type="dxa" w:w="2484"/>
          </w:tcPr>
          <w:p>
            <w:pPr>
              <w:pStyle w:val="BodyText"/>
              <w:keepNext w:val="0"/>
              <w:spacing w:after="80" w:line="252" w:lineRule="auto"/>
              <w:jc w:val="left"/>
            </w:pPr>
            <w:r>
              <w:rPr>
                <w:rFonts w:ascii="Calibri" w:hAnsi="Calibri"/>
                <w:sz w:val="17"/>
              </w:rPr>
              <w:t xml:space="preserve">Immanent causality</w:t>
            </w:r>
          </w:p>
        </w:tc>
        <w:tc>
          <w:tcPr>
            <w:tcW w:type="dxa" w:w="7452"/>
          </w:tcPr>
          <w:p>
            <w:pPr>
              <w:pStyle w:val="BodyText"/>
              <w:keepNext w:val="0"/>
              <w:spacing w:after="80" w:line="252" w:lineRule="auto"/>
              <w:jc w:val="left"/>
            </w:pPr>
            <w:r>
              <w:rPr>
                <w:rFonts w:ascii="Calibri" w:hAnsi="Calibri"/>
                <w:sz w:val="17"/>
              </w:rPr>
              <w:t xml:space="preserve">Fits generic causal grammar. The substantive underived/unbounded source profile provides the theological discrimination.</w:t>
            </w:r>
          </w:p>
        </w:tc>
      </w:tr>
    </w:tbl>
    <w:p>
      <w:pPr>
        <w:pStyle w:val="BodyText"/>
      </w:pPr>
      <w:r>
        <w:t xml:space="preserve">Non-exhaustion supplies a negative opening: no finite effect necessitates creation by adequately measuring or completing unlimited fullness. It does not exclude other necessitating rules. To derive contingency of each finite expression, require an accessible same-fullness world lacking that expression; a no-creation world is a stronger sufficient premise. Two merely different created worlds can share a necessary effect a. The evaluator includes exactly this counterexample.</w:t>
      </w:r>
    </w:p>
    <w:p>
      <w:pPr>
        <w:pStyle w:val="BodyText"/>
      </w:pPr>
      <w:r>
        <w:t xml:space="preserve">Intentional freedom additionally requires intelligent self-determination without necessity from intrinsic nature, external dependence, lack, or a unique-maximization rule. Intentionality alone does not imply libertarian freedom; modal alternatives alone could be stochastic. This is an extension, not a proof from infinity. Distinguishing God’s intrinsic actuality from differences in what God wills is a proposed account of divine agency. It still needs to explain why creation is free and what makes a particular act of willing real.</w:t>
      </w:r>
    </w:p>
    <w:bookmarkEnd w:id="322"/>
    <w:bookmarkStart w:id="323" w:name="philosophy-and-christian-commitments"/>
    <w:p>
      <w:pPr>
        <w:pStyle w:val="Heading3"/>
      </w:pPr>
      <w:r>
        <w:t xml:space="preserve">7. Philosophy and Christian commitments</w:t>
      </w:r>
    </w:p>
    <w:p>
      <w:pPr>
        <w:pStyle w:val="FirstParagraph"/>
      </w:pPr>
      <w:r>
        <w:t xml:space="preserve">The philosophical reconstruction establishes conditional consequences, not revealed doctrine. Christian interpretation supplies or constrains Creator–creature distinction, ex nihilo, divine nondependence, real finite goodness, transcendence, real divine causality, and intelligent free creation. Ex nihilo means no uncreated material co-source or divine material; it need not entail a temporal beginning. Universal present dependence is not by itself a complete explanation of production without material.</w:t>
      </w:r>
    </w:p>
    <w:p>
      <w:pPr>
        <w:pStyle w:val="BodyText"/>
      </w:pPr>
      <w:r>
        <w:t xml:space="preserve">The tradition’s explanatory models include essence–esse, act/potency, divine ideas, logoi, formalities, essence–energies, analogy, and mixed relations. Their differences are not uniformly dogmatic and can genuinely conflict. Actual secondary causality must be added: C(g,a,q) and C(b,a,q) can coexist without source–creature rivalry. Compatibility alone does not prove that the secondary cause operates.</w:t>
      </w:r>
    </w:p>
    <w:bookmarkEnd w:id="323"/>
    <w:bookmarkStart w:id="324" w:name="historical-genealogy"/>
    <w:p>
      <w:pPr>
        <w:pStyle w:val="Heading3"/>
      </w:pPr>
      <w:r>
        <w:t xml:space="preserve">8. Historical genealogy</w:t>
      </w:r>
    </w:p>
    <w:tbl>
      <w:tblPr>
        <w:tblStyle w:val="TableGrid"/>
        <w:tblW w:type="dxa" w:w="9936"/>
        <w:jc w:val="left"/>
        <w:tblLayout w:type="fixed"/>
        <w:tblLook w:firstRow="1" w:lastRow="0" w:firstColumn="0" w:lastColumn="0" w:noHBand="0" w:noVBand="0" w:val="0020"/>
      </w:tblPr>
      <w:tblGrid>
        <w:gridCol w:w="3312"/>
        <w:gridCol w:w="3312"/>
        <w:gridCol w:w="3312"/>
      </w:tblGrid>
      <w:tr>
        <w:trPr>
          <w:tblHeader w:val="true"/>
        </w:trPr>
        <w:tc>
          <w:tcPr>
            <w:tcW w:type="dxa" w:w="3312"/>
            <w:shd w:fill="EAE5DA"/>
          </w:tcPr>
          <w:p>
            <w:pPr>
              <w:pStyle w:val="BodyText"/>
              <w:keepNext w:val="0"/>
              <w:spacing w:after="80" w:line="252" w:lineRule="auto"/>
              <w:jc w:val="left"/>
            </w:pPr>
            <w:r>
              <w:rPr>
                <w:rFonts w:ascii="Calibri" w:hAnsi="Calibri"/>
                <w:b/>
                <w:sz w:val="17"/>
              </w:rPr>
              <w:t xml:space="preserve">Witness / locus</w:t>
            </w:r>
          </w:p>
        </w:tc>
        <w:tc>
          <w:tcPr>
            <w:tcW w:type="dxa" w:w="3312"/>
            <w:shd w:fill="EAE5DA"/>
          </w:tcPr>
          <w:p>
            <w:pPr>
              <w:pStyle w:val="BodyText"/>
              <w:keepNext w:val="0"/>
              <w:spacing w:after="80" w:line="252" w:lineRule="auto"/>
              <w:jc w:val="left"/>
            </w:pPr>
            <w:r>
              <w:rPr>
                <w:rFonts w:ascii="Calibri" w:hAnsi="Calibri"/>
                <w:b/>
                <w:sz w:val="17"/>
              </w:rPr>
              <w:t xml:space="preserve">Contribution</w:t>
            </w:r>
          </w:p>
        </w:tc>
        <w:tc>
          <w:tcPr>
            <w:tcW w:type="dxa" w:w="3312"/>
            <w:shd w:fill="EAE5DA"/>
          </w:tcPr>
          <w:p>
            <w:pPr>
              <w:pStyle w:val="BodyText"/>
              <w:keepNext w:val="0"/>
              <w:spacing w:after="80" w:line="252" w:lineRule="auto"/>
              <w:jc w:val="left"/>
            </w:pPr>
            <w:r>
              <w:rPr>
                <w:rFonts w:ascii="Calibri" w:hAnsi="Calibri"/>
                <w:b/>
                <w:sz w:val="17"/>
              </w:rPr>
              <w:t xml:space="preserve">Unresolved difference</w:t>
            </w:r>
          </w:p>
        </w:tc>
      </w:tr>
      <w:tr>
        <w:tc>
          <w:tcPr>
            <w:tcW w:type="dxa" w:w="3312"/>
          </w:tcPr>
          <w:p>
            <w:pPr>
              <w:pStyle w:val="BodyText"/>
              <w:keepNext w:val="0"/>
              <w:spacing w:after="80" w:line="252" w:lineRule="auto"/>
              <w:jc w:val="left"/>
            </w:pPr>
            <w:r>
              <w:rPr>
                <w:rFonts w:ascii="Calibri" w:hAnsi="Calibri"/>
                <w:sz w:val="17"/>
              </w:rPr>
              <w:t xml:space="preserve">Plato &amp; Aristotle — Parmenides 130e–131e; Timaeus 28a–29b; Metaphysics Λ.7, 1072b</w:t>
            </w:r>
          </w:p>
        </w:tc>
        <w:tc>
          <w:tcPr>
            <w:tcW w:type="dxa" w:w="3312"/>
          </w:tcPr>
          <w:p>
            <w:pPr>
              <w:pStyle w:val="BodyText"/>
              <w:keepNext w:val="0"/>
              <w:spacing w:after="80" w:line="252" w:lineRule="auto"/>
              <w:jc w:val="left"/>
            </w:pPr>
            <w:r>
              <w:rPr>
                <w:rFonts w:ascii="Calibri" w:hAnsi="Calibri"/>
                <w:sz w:val="17"/>
              </w:rPr>
              <w:t xml:space="preserve">The whole/part problem makes</w:t>
            </w:r>
            <w:r>
              <w:rPr>
                <w:rFonts w:ascii="Calibri" w:hAnsi="Calibri"/>
                <w:sz w:val="17"/>
              </w:rPr>
              <w:t xml:space="preserve"> </w:t>
            </w:r>
            <w:r>
              <w:rPr>
                <w:rFonts w:ascii="Calibri" w:hAnsi="Calibri"/>
                <w:sz w:val="17"/>
              </w:rPr>
              <w:t xml:space="preserve">“</w:t>
            </w:r>
            <w:r>
              <w:rPr>
                <w:rFonts w:ascii="Calibri" w:hAnsi="Calibri"/>
                <w:sz w:val="17"/>
              </w:rPr>
              <w:t xml:space="preserve">sharing</w:t>
            </w:r>
            <w:r>
              <w:rPr>
                <w:rFonts w:ascii="Calibri" w:hAnsi="Calibri"/>
                <w:sz w:val="17"/>
              </w:rPr>
              <w:t xml:space="preserve">”</w:t>
            </w:r>
            <w:r>
              <w:rPr>
                <w:rFonts w:ascii="Calibri" w:hAnsi="Calibri"/>
                <w:sz w:val="17"/>
              </w:rPr>
              <w:t xml:space="preserve"> </w:t>
            </w:r>
            <w:r>
              <w:rPr>
                <w:rFonts w:ascii="Calibri" w:hAnsi="Calibri"/>
                <w:sz w:val="17"/>
              </w:rPr>
              <w:t xml:space="preserve">dangerous; exemplarity and different causal orders make it intelligible.</w:t>
            </w:r>
          </w:p>
        </w:tc>
        <w:tc>
          <w:tcPr>
            <w:tcW w:type="dxa" w:w="3312"/>
          </w:tcPr>
          <w:p>
            <w:pPr>
              <w:pStyle w:val="BodyText"/>
              <w:keepNext w:val="0"/>
              <w:spacing w:after="80" w:line="252" w:lineRule="auto"/>
              <w:jc w:val="left"/>
            </w:pPr>
            <w:r>
              <w:rPr>
                <w:rFonts w:ascii="Calibri" w:hAnsi="Calibri"/>
                <w:sz w:val="17"/>
              </w:rPr>
              <w:t xml:space="preserve">Aristotelian causal priority does not itself deliver Christian ex nihilo or universal sustaining causality.</w:t>
            </w:r>
          </w:p>
        </w:tc>
      </w:tr>
      <w:tr>
        <w:tc>
          <w:tcPr>
            <w:tcW w:type="dxa" w:w="3312"/>
          </w:tcPr>
          <w:p>
            <w:pPr>
              <w:pStyle w:val="BodyText"/>
              <w:keepNext w:val="0"/>
              <w:spacing w:after="80" w:line="252" w:lineRule="auto"/>
              <w:jc w:val="left"/>
            </w:pPr>
            <w:r>
              <w:rPr>
                <w:rFonts w:ascii="Calibri" w:hAnsi="Calibri"/>
                <w:sz w:val="17"/>
              </w:rPr>
              <w:t xml:space="preserve">Plotinus &amp; Proclus — Enneads V.2.1; VI.9.3; Elements of Theology props. 23, 26–30</w:t>
            </w:r>
          </w:p>
        </w:tc>
        <w:tc>
          <w:tcPr>
            <w:tcW w:type="dxa" w:w="3312"/>
          </w:tcPr>
          <w:p>
            <w:pPr>
              <w:pStyle w:val="BodyText"/>
              <w:keepNext w:val="0"/>
              <w:spacing w:after="80" w:line="252" w:lineRule="auto"/>
              <w:jc w:val="left"/>
            </w:pPr>
            <w:r>
              <w:rPr>
                <w:rFonts w:ascii="Calibri" w:hAnsi="Calibri"/>
                <w:sz w:val="17"/>
              </w:rPr>
              <w:t xml:space="preserve">One source, undivided presence, procession and return offer resources for nonpartition and causal excess.</w:t>
            </w:r>
          </w:p>
        </w:tc>
        <w:tc>
          <w:tcPr>
            <w:tcW w:type="dxa" w:w="3312"/>
          </w:tcPr>
          <w:p>
            <w:pPr>
              <w:pStyle w:val="BodyText"/>
              <w:keepNext w:val="0"/>
              <w:spacing w:after="80" w:line="252" w:lineRule="auto"/>
              <w:jc w:val="left"/>
            </w:pPr>
            <w:r>
              <w:rPr>
                <w:rFonts w:ascii="Calibri" w:hAnsi="Calibri"/>
                <w:sz w:val="17"/>
              </w:rPr>
              <w:t xml:space="preserve">Necessary procession is a live rival to free creation. Similar vocabulary cannot erase this modal difference.</w:t>
            </w:r>
          </w:p>
        </w:tc>
      </w:tr>
      <w:tr>
        <w:tc>
          <w:tcPr>
            <w:tcW w:type="dxa" w:w="3312"/>
          </w:tcPr>
          <w:p>
            <w:pPr>
              <w:pStyle w:val="BodyText"/>
              <w:keepNext w:val="0"/>
              <w:spacing w:after="80" w:line="252" w:lineRule="auto"/>
              <w:jc w:val="left"/>
            </w:pPr>
            <w:r>
              <w:rPr>
                <w:rFonts w:ascii="Calibri" w:hAnsi="Calibri"/>
                <w:sz w:val="17"/>
              </w:rPr>
              <w:t xml:space="preserve">Gregory of Nyssa &amp; Augustine — Life of Moses II.230–239; City of God XI.10; De diversis quaestionibus 83, q.46</w:t>
            </w:r>
          </w:p>
        </w:tc>
        <w:tc>
          <w:tcPr>
            <w:tcW w:type="dxa" w:w="3312"/>
          </w:tcPr>
          <w:p>
            <w:pPr>
              <w:pStyle w:val="BodyText"/>
              <w:keepNext w:val="0"/>
              <w:spacing w:after="80" w:line="252" w:lineRule="auto"/>
              <w:jc w:val="left"/>
            </w:pPr>
            <w:r>
              <w:rPr>
                <w:rFonts w:ascii="Calibri" w:hAnsi="Calibri"/>
                <w:sz w:val="17"/>
              </w:rPr>
              <w:t xml:space="preserve">Nyssen inexhaustible participation and Augustine’s non-acquired wisdom distinguish received finite perfection from source actuality.</w:t>
            </w:r>
          </w:p>
        </w:tc>
        <w:tc>
          <w:tcPr>
            <w:tcW w:type="dxa" w:w="3312"/>
          </w:tcPr>
          <w:p>
            <w:pPr>
              <w:pStyle w:val="BodyText"/>
              <w:keepNext w:val="0"/>
              <w:spacing w:after="80" w:line="252" w:lineRule="auto"/>
              <w:jc w:val="left"/>
            </w:pPr>
            <w:r>
              <w:rPr>
                <w:rFonts w:ascii="Calibri" w:hAnsi="Calibri"/>
                <w:sz w:val="17"/>
              </w:rPr>
              <w:t xml:space="preserve">Epektasis does not become a proof of divine infinity by being renamed</w:t>
            </w:r>
            <w:r>
              <w:rPr>
                <w:rFonts w:ascii="Calibri" w:hAnsi="Calibri"/>
                <w:sz w:val="17"/>
              </w:rPr>
              <w:t xml:space="preserve"> </w:t>
            </w:r>
            <w:r>
              <w:rPr>
                <w:rFonts w:ascii="Calibri" w:hAnsi="Calibri"/>
                <w:sz w:val="17"/>
              </w:rPr>
              <w:t xml:space="preserve">“</w:t>
            </w:r>
            <w:r>
              <w:rPr>
                <w:rFonts w:ascii="Calibri" w:hAnsi="Calibri"/>
                <w:sz w:val="17"/>
              </w:rPr>
              <w:t xml:space="preserve">non-exhaustion.</w:t>
            </w:r>
            <w:r>
              <w:rPr>
                <w:rFonts w:ascii="Calibri" w:hAnsi="Calibri"/>
                <w:sz w:val="17"/>
              </w:rPr>
              <w:t xml:space="preserve">”</w:t>
            </w:r>
            <w:r>
              <w:rPr>
                <w:rFonts w:ascii="Calibri" w:hAnsi="Calibri"/>
                <w:sz w:val="17"/>
              </w:rPr>
              <w:t xml:space="preserve"> </w:t>
            </w:r>
            <w:r>
              <w:rPr>
                <w:rFonts w:ascii="Calibri" w:hAnsi="Calibri"/>
                <w:sz w:val="17"/>
              </w:rPr>
              <w:t xml:space="preserve">Augustine’s divine ideas are not independent substances.</w:t>
            </w:r>
          </w:p>
        </w:tc>
      </w:tr>
      <w:tr>
        <w:tc>
          <w:tcPr>
            <w:tcW w:type="dxa" w:w="3312"/>
          </w:tcPr>
          <w:p>
            <w:pPr>
              <w:pStyle w:val="BodyText"/>
              <w:keepNext w:val="0"/>
              <w:spacing w:after="80" w:line="252" w:lineRule="auto"/>
              <w:jc w:val="left"/>
            </w:pPr>
            <w:r>
              <w:rPr>
                <w:rFonts w:ascii="Calibri" w:hAnsi="Calibri"/>
                <w:sz w:val="17"/>
              </w:rPr>
              <w:t xml:space="preserve">Dionysius &amp; Maximus — Divine Names II.5, V.8, IX.6; Ambiguum 7, PG 91, 1080A–1085B</w:t>
            </w:r>
          </w:p>
        </w:tc>
        <w:tc>
          <w:tcPr>
            <w:tcW w:type="dxa" w:w="3312"/>
          </w:tcPr>
          <w:p>
            <w:pPr>
              <w:pStyle w:val="BodyText"/>
              <w:keepNext w:val="0"/>
              <w:spacing w:after="80" w:line="252" w:lineRule="auto"/>
              <w:jc w:val="left"/>
            </w:pPr>
            <w:r>
              <w:rPr>
                <w:rFonts w:ascii="Calibri" w:hAnsi="Calibri"/>
                <w:sz w:val="17"/>
              </w:rPr>
              <w:t xml:space="preserve">Effects can truly exhibit causal likeness without reproducing the source’s mode. Logoi distinguish intelligible reasons from contingent realization.</w:t>
            </w:r>
          </w:p>
        </w:tc>
        <w:tc>
          <w:tcPr>
            <w:tcW w:type="dxa" w:w="3312"/>
          </w:tcPr>
          <w:p>
            <w:pPr>
              <w:pStyle w:val="BodyText"/>
              <w:keepNext w:val="0"/>
              <w:spacing w:after="80" w:line="252" w:lineRule="auto"/>
              <w:jc w:val="left"/>
            </w:pPr>
            <w:r>
              <w:rPr>
                <w:rFonts w:ascii="Calibri" w:hAnsi="Calibri"/>
                <w:sz w:val="17"/>
              </w:rPr>
              <w:t xml:space="preserve">Dionysian procession is not automatically necessitarian. Maximus’s willing logoi are not a many-part divine interior.</w:t>
            </w:r>
          </w:p>
        </w:tc>
      </w:tr>
      <w:tr>
        <w:tc>
          <w:tcPr>
            <w:tcW w:type="dxa" w:w="3312"/>
          </w:tcPr>
          <w:p>
            <w:pPr>
              <w:pStyle w:val="BodyText"/>
              <w:keepNext w:val="0"/>
              <w:spacing w:after="80" w:line="252" w:lineRule="auto"/>
              <w:jc w:val="left"/>
            </w:pPr>
            <w:r>
              <w:rPr>
                <w:rFonts w:ascii="Calibri" w:hAnsi="Calibri"/>
                <w:sz w:val="17"/>
              </w:rPr>
              <w:t xml:space="preserve">Eriugena &amp; Cusa — Periphyseon I.446D, I.455B; De docta ignorantia I.2, II.3</w:t>
            </w:r>
          </w:p>
        </w:tc>
        <w:tc>
          <w:tcPr>
            <w:tcW w:type="dxa" w:w="3312"/>
          </w:tcPr>
          <w:p>
            <w:pPr>
              <w:pStyle w:val="BodyText"/>
              <w:keepNext w:val="0"/>
              <w:spacing w:after="80" w:line="252" w:lineRule="auto"/>
              <w:jc w:val="left"/>
            </w:pPr>
            <w:r>
              <w:rPr>
                <w:rFonts w:ascii="Calibri" w:hAnsi="Calibri"/>
                <w:sz w:val="17"/>
              </w:rPr>
              <w:t xml:space="preserve">Manifestation and enfolding explain why source transcendence need not be remoteness.</w:t>
            </w:r>
          </w:p>
        </w:tc>
        <w:tc>
          <w:tcPr>
            <w:tcW w:type="dxa" w:w="3312"/>
          </w:tcPr>
          <w:p>
            <w:pPr>
              <w:pStyle w:val="BodyText"/>
              <w:keepNext w:val="0"/>
              <w:spacing w:after="80" w:line="252" w:lineRule="auto"/>
              <w:jc w:val="left"/>
            </w:pPr>
            <w:r>
              <w:rPr>
                <w:rFonts w:ascii="Calibri" w:hAnsi="Calibri"/>
                <w:sz w:val="17"/>
              </w:rPr>
              <w:t xml:space="preserve">Retrieve them only with causal asymmetry and nonconstitution guards. Interpretive pressures toward divine self-constitution must remain visible.</w:t>
            </w:r>
          </w:p>
        </w:tc>
      </w:tr>
      <w:tr>
        <w:tc>
          <w:tcPr>
            <w:tcW w:type="dxa" w:w="3312"/>
          </w:tcPr>
          <w:p>
            <w:pPr>
              <w:pStyle w:val="BodyText"/>
              <w:keepNext w:val="0"/>
              <w:spacing w:after="80" w:line="252" w:lineRule="auto"/>
              <w:jc w:val="left"/>
            </w:pPr>
            <w:r>
              <w:rPr>
                <w:rFonts w:ascii="Calibri" w:hAnsi="Calibri"/>
                <w:sz w:val="17"/>
              </w:rPr>
              <w:t xml:space="preserve">Anselm &amp; Bonaventure — Monologion 17, 31, 34; Itinerarium II.11–13, III.1–3, VI.2</w:t>
            </w:r>
          </w:p>
        </w:tc>
        <w:tc>
          <w:tcPr>
            <w:tcW w:type="dxa" w:w="3312"/>
          </w:tcPr>
          <w:p>
            <w:pPr>
              <w:pStyle w:val="BodyText"/>
              <w:keepNext w:val="0"/>
              <w:spacing w:after="80" w:line="252" w:lineRule="auto"/>
              <w:jc w:val="left"/>
            </w:pPr>
            <w:r>
              <w:rPr>
                <w:rFonts w:ascii="Calibri" w:hAnsi="Calibri"/>
                <w:sz w:val="17"/>
              </w:rPr>
              <w:t xml:space="preserve">Composition depends on constituents; mutable likeness does not supply the exemplar’s actuality. Vestige, image, and similitude discriminate forms of expression.</w:t>
            </w:r>
          </w:p>
        </w:tc>
        <w:tc>
          <w:tcPr>
            <w:tcW w:type="dxa" w:w="3312"/>
          </w:tcPr>
          <w:p>
            <w:pPr>
              <w:pStyle w:val="BodyText"/>
              <w:keepNext w:val="0"/>
              <w:spacing w:after="80" w:line="252" w:lineRule="auto"/>
              <w:jc w:val="left"/>
            </w:pPr>
            <w:r>
              <w:rPr>
                <w:rFonts w:ascii="Calibri" w:hAnsi="Calibri"/>
                <w:sz w:val="17"/>
              </w:rPr>
              <w:t xml:space="preserve">Bonaventure’s diffusion of goodness concerns necessary trinitarian fecundity in VI.2; it is not a proof of necessary creation.</w:t>
            </w:r>
          </w:p>
        </w:tc>
      </w:tr>
      <w:tr>
        <w:tc>
          <w:tcPr>
            <w:tcW w:type="dxa" w:w="3312"/>
          </w:tcPr>
          <w:p>
            <w:pPr>
              <w:pStyle w:val="BodyText"/>
              <w:keepNext w:val="0"/>
              <w:spacing w:after="80" w:line="252" w:lineRule="auto"/>
              <w:jc w:val="left"/>
            </w:pPr>
            <w:r>
              <w:rPr>
                <w:rFonts w:ascii="Calibri" w:hAnsi="Calibri"/>
                <w:sz w:val="17"/>
              </w:rPr>
              <w:t xml:space="preserve">Henry of Ghent &amp; Scotus — Henry: Summa art.21 q.4, art.24 q.3; Scotus: Ordinatio I d.2 p.1 qq.1–2, I d.35, I d.39</w:t>
            </w:r>
          </w:p>
        </w:tc>
        <w:tc>
          <w:tcPr>
            <w:tcW w:type="dxa" w:w="3312"/>
          </w:tcPr>
          <w:p>
            <w:pPr>
              <w:pStyle w:val="BodyText"/>
              <w:keepNext w:val="0"/>
              <w:spacing w:after="80" w:line="252" w:lineRule="auto"/>
              <w:jc w:val="left"/>
            </w:pPr>
            <w:r>
              <w:rPr>
                <w:rFonts w:ascii="Calibri" w:hAnsi="Calibri"/>
                <w:sz w:val="17"/>
              </w:rPr>
              <w:t xml:space="preserve">Possible intelligibility and actual production need not be one operation. Divine cognition and volition demand careful modal distinctions.</w:t>
            </w:r>
          </w:p>
        </w:tc>
        <w:tc>
          <w:tcPr>
            <w:tcW w:type="dxa" w:w="3312"/>
          </w:tcPr>
          <w:p>
            <w:pPr>
              <w:pStyle w:val="BodyText"/>
              <w:keepNext w:val="0"/>
              <w:spacing w:after="80" w:line="252" w:lineRule="auto"/>
              <w:jc w:val="left"/>
            </w:pPr>
            <w:r>
              <w:rPr>
                <w:rFonts w:ascii="Calibri" w:hAnsi="Calibri"/>
                <w:sz w:val="17"/>
              </w:rPr>
              <w:t xml:space="preserve">Henry’s necessary possible-essence hierarchy and Scotus’s formal distinction are not interchangeable. Univocity of being is not a common natural genus.</w:t>
            </w:r>
          </w:p>
        </w:tc>
      </w:tr>
      <w:tr>
        <w:tc>
          <w:tcPr>
            <w:tcW w:type="dxa" w:w="3312"/>
          </w:tcPr>
          <w:p>
            <w:pPr>
              <w:pStyle w:val="BodyText"/>
              <w:keepNext w:val="0"/>
              <w:spacing w:after="80" w:line="252" w:lineRule="auto"/>
              <w:jc w:val="left"/>
            </w:pPr>
            <w:r>
              <w:rPr>
                <w:rFonts w:ascii="Calibri" w:hAnsi="Calibri"/>
                <w:sz w:val="17"/>
              </w:rPr>
              <w:t xml:space="preserve">Aquinas — ST I qq.3–4, 13, 15; q.44 a.1 ad2; q.45 a.3; q.105 a.5</w:t>
            </w:r>
          </w:p>
        </w:tc>
        <w:tc>
          <w:tcPr>
            <w:tcW w:type="dxa" w:w="3312"/>
          </w:tcPr>
          <w:p>
            <w:pPr>
              <w:pStyle w:val="BodyText"/>
              <w:keepNext w:val="0"/>
              <w:spacing w:after="80" w:line="252" w:lineRule="auto"/>
              <w:jc w:val="left"/>
            </w:pPr>
            <w:r>
              <w:rPr>
                <w:rFonts w:ascii="Calibri" w:hAnsi="Calibri"/>
                <w:sz w:val="17"/>
              </w:rPr>
              <w:t xml:space="preserve">Necessary beings can still be caused; real creaturely powers can operate under universal divine causality; recipient mode does not migrate into the source.</w:t>
            </w:r>
          </w:p>
        </w:tc>
        <w:tc>
          <w:tcPr>
            <w:tcW w:type="dxa" w:w="3312"/>
          </w:tcPr>
          <w:p>
            <w:pPr>
              <w:pStyle w:val="BodyText"/>
              <w:keepNext w:val="0"/>
              <w:spacing w:after="80" w:line="252" w:lineRule="auto"/>
              <w:jc w:val="left"/>
            </w:pPr>
            <w:r>
              <w:rPr>
                <w:rFonts w:ascii="Calibri" w:hAnsi="Calibri"/>
                <w:sz w:val="17"/>
              </w:rPr>
              <w:t xml:space="preserve">Participation in esse is a strong witness, not the compulsory vocabulary for the entire tradition. Mixed relations require his relational framework.</w:t>
            </w:r>
          </w:p>
        </w:tc>
      </w:tr>
      <w:tr>
        <w:tc>
          <w:tcPr>
            <w:tcW w:type="dxa" w:w="3312"/>
          </w:tcPr>
          <w:p>
            <w:pPr>
              <w:pStyle w:val="BodyText"/>
              <w:keepNext w:val="0"/>
              <w:spacing w:after="80" w:line="252" w:lineRule="auto"/>
              <w:jc w:val="left"/>
            </w:pPr>
            <w:r>
              <w:rPr>
                <w:rFonts w:ascii="Calibri" w:hAnsi="Calibri"/>
                <w:sz w:val="17"/>
              </w:rPr>
              <w:t xml:space="preserve">Damascene, Palamas &amp; Przywara — Damascene: On Holy Images III, image-types; Palamas: Triads III.2; Przywara: Analogia Entis</w:t>
            </w:r>
          </w:p>
        </w:tc>
        <w:tc>
          <w:tcPr>
            <w:tcW w:type="dxa" w:w="3312"/>
          </w:tcPr>
          <w:p>
            <w:pPr>
              <w:pStyle w:val="BodyText"/>
              <w:keepNext w:val="0"/>
              <w:spacing w:after="80" w:line="252" w:lineRule="auto"/>
              <w:jc w:val="left"/>
            </w:pPr>
            <w:r>
              <w:rPr>
                <w:rFonts w:ascii="Calibri" w:hAnsi="Calibri"/>
                <w:sz w:val="17"/>
              </w:rPr>
              <w:t xml:space="preserve">Image kinds, real uncreated communication, and likeness within greater dissimilarity test whether the common grammar is broad enough.</w:t>
            </w:r>
          </w:p>
        </w:tc>
        <w:tc>
          <w:tcPr>
            <w:tcW w:type="dxa" w:w="3312"/>
          </w:tcPr>
          <w:p>
            <w:pPr>
              <w:pStyle w:val="BodyText"/>
              <w:keepNext w:val="0"/>
              <w:spacing w:after="80" w:line="252" w:lineRule="auto"/>
              <w:jc w:val="left"/>
            </w:pPr>
            <w:r>
              <w:rPr>
                <w:rFonts w:ascii="Calibri" w:hAnsi="Calibri"/>
                <w:sz w:val="17"/>
              </w:rPr>
              <w:t xml:space="preserve">Noncomposition is not</w:t>
            </w:r>
            <w:r>
              <w:rPr>
                <w:rFonts w:ascii="Calibri" w:hAnsi="Calibri"/>
                <w:sz w:val="17"/>
              </w:rPr>
              <w:t xml:space="preserve"> </w:t>
            </w:r>
            <w:r>
              <w:rPr>
                <w:rFonts w:ascii="Calibri" w:hAnsi="Calibri"/>
                <w:sz w:val="17"/>
              </w:rPr>
              <w:t xml:space="preserve">“</w:t>
            </w:r>
            <w:r>
              <w:rPr>
                <w:rFonts w:ascii="Calibri" w:hAnsi="Calibri"/>
                <w:sz w:val="17"/>
              </w:rPr>
              <w:t xml:space="preserve">no real distinction whatsoever.</w:t>
            </w:r>
            <w:r>
              <w:rPr>
                <w:rFonts w:ascii="Calibri" w:hAnsi="Calibri"/>
                <w:sz w:val="17"/>
              </w:rPr>
              <w:t xml:space="preserve">”</w:t>
            </w:r>
            <w:r>
              <w:rPr>
                <w:rFonts w:ascii="Calibri" w:hAnsi="Calibri"/>
                <w:sz w:val="17"/>
              </w:rPr>
              <w:t xml:space="preserve"> </w:t>
            </w:r>
            <w:r>
              <w:rPr>
                <w:rFonts w:ascii="Calibri" w:hAnsi="Calibri"/>
                <w:sz w:val="17"/>
              </w:rPr>
              <w:t xml:space="preserve">Essence–energies and scholastic formalities cannot be erased by a blanket claim that every difference concerns only the effects.</w:t>
            </w:r>
          </w:p>
        </w:tc>
      </w:tr>
      <w:tr>
        <w:tc>
          <w:tcPr>
            <w:tcW w:type="dxa" w:w="3312"/>
          </w:tcPr>
          <w:p>
            <w:pPr>
              <w:pStyle w:val="BodyText"/>
              <w:keepNext w:val="0"/>
              <w:spacing w:after="80" w:line="252" w:lineRule="auto"/>
              <w:jc w:val="left"/>
            </w:pPr>
            <w:r>
              <w:rPr>
                <w:rFonts w:ascii="Calibri" w:hAnsi="Calibri"/>
                <w:sz w:val="17"/>
              </w:rPr>
              <w:t xml:space="preserve">Newman — Essay on Development, ch. V, opening §4 and §§I–VII</w:t>
            </w:r>
          </w:p>
        </w:tc>
        <w:tc>
          <w:tcPr>
            <w:tcW w:type="dxa" w:w="3312"/>
          </w:tcPr>
          <w:p>
            <w:pPr>
              <w:pStyle w:val="BodyText"/>
              <w:keepNext w:val="0"/>
              <w:spacing w:after="80" w:line="252" w:lineRule="auto"/>
              <w:jc w:val="left"/>
            </w:pPr>
            <w:r>
              <w:rPr>
                <w:rFonts w:ascii="Calibri" w:hAnsi="Calibri"/>
                <w:sz w:val="17"/>
              </w:rPr>
              <w:t xml:space="preserve">Preservation, continuity, assimilation, sequence, anticipation, conservation, and chronic vigour discipline constructive synthesis.</w:t>
            </w:r>
          </w:p>
        </w:tc>
        <w:tc>
          <w:tcPr>
            <w:tcW w:type="dxa" w:w="3312"/>
          </w:tcPr>
          <w:p>
            <w:pPr>
              <w:pStyle w:val="BodyText"/>
              <w:keepNext w:val="0"/>
              <w:spacing w:after="80" w:line="252" w:lineRule="auto"/>
              <w:jc w:val="left"/>
            </w:pPr>
            <w:r>
              <w:rPr>
                <w:rFonts w:ascii="Calibri" w:hAnsi="Calibri"/>
                <w:sz w:val="17"/>
              </w:rPr>
              <w:t xml:space="preserve">A new system cannot demonstrate centuries of chronic vigour. Explanatory fruitfulness is a provisional adaptation, not Newman’s exact seventh note.</w:t>
            </w:r>
          </w:p>
        </w:tc>
      </w:tr>
    </w:tbl>
    <w:p>
      <w:pPr>
        <w:pStyle w:val="BodyText"/>
      </w:pPr>
      <w:r>
        <w:t xml:space="preserve">The common problem is finite real sourced likeness without divine material or divine acquisition. The contribution assignments are reasonable reconstructions; the five-family/nine-clause architecture is new. Plato’s whole/part dilemma is a problem, not a Christian solution; necessary procession is a modal rival; Henry’s possible-essence hierarchy is not Scotus’s ontology; Palamite energies are not simply Thomistic distinctions of reason. Retrieve compatible structural insights without harmonizing contradictions.</w:t>
      </w:r>
    </w:p>
    <w:bookmarkEnd w:id="324"/>
    <w:bookmarkStart w:id="325" w:name="newman-style-assessment"/>
    <w:p>
      <w:pPr>
        <w:pStyle w:val="Heading3"/>
      </w:pPr>
      <w:r>
        <w:t xml:space="preserve">9. Newman-style assessment</w:t>
      </w:r>
    </w:p>
    <w:p>
      <w:pPr>
        <w:pStyle w:val="FirstParagraph"/>
      </w:pPr>
      <w:r>
        <w:t xml:space="preserve">Newman’s exact notes in Essay on Development ch. V are preservation of type, continuity of principles, power of assimilation, logical sequence, anticipation of its future, conservative action upon its past, and chronic vigour. He notes their varying cogency, independence, and applicability. The user’s fruitfulness criterion is an analogical adaptation, not his seventh note verbatim.</w:t>
      </w:r>
    </w:p>
    <w:p>
      <w:pPr>
        <w:pStyle w:val="BodyText"/>
      </w:pPr>
      <w:r>
        <w:t xml:space="preserve">The proposal provisionally preserves type and central commitments; assimilates exemplarity, grounding, recipient mode, and nonconstitution; proceeds by explicit bridges; identifies antecedent anticipations without attributing the exact system backward; and conserves genuine achievements. It cannot demonstrate chronic vigour for a new system. Countermodel resilience is preliminary explanatory fruitfulness. Verdict: a candidate development of an explanatory grammar, not an ecclesial certification or a demonstrated reconciliation of every school.</w:t>
      </w:r>
    </w:p>
    <w:bookmarkEnd w:id="325"/>
    <w:bookmarkStart w:id="326" w:name="where-explanation-finally-stops"/>
    <w:p>
      <w:pPr>
        <w:pStyle w:val="Heading3"/>
      </w:pPr>
      <w:r>
        <w:t xml:space="preserve">10. Where Explanation Finally Stops</w:t>
      </w:r>
    </w:p>
    <w:p>
      <w:pPr>
        <w:pStyle w:val="FirstParagraph"/>
      </w:pPr>
      <w:r>
        <w:t xml:space="preserve">The theory is conceptually relational but ontologically asymmetric. Its definitions form no circle: Rec uses C/H; P uses Rec/D; L uses H; E uses P/L; U uses D. Underivation is not defined by participation and does not explain why anything is actual.</w:t>
      </w:r>
    </w:p>
    <w:p>
      <w:pPr>
        <w:pStyle w:val="BodyText"/>
      </w:pPr>
      <w:r>
        <w:t xml:space="preserve">Definitional circularity would be vicious if concepts never acquired independent meaning. Epistemic ascent from effects is not causal production of their source. Explanatory mutual articulation can clarify terms but cannot warrant independent bridges. Ontological dependence is one-way in the relevant source respect under CP + U. God is never explained by creatures in the respect in which their actuality is explained by God.</w:t>
      </w:r>
    </w:p>
    <w:p>
      <w:pPr>
        <w:pStyle w:val="BodyText"/>
      </w:pPr>
      <w:r>
        <w:t xml:space="preserve">“</w:t>
      </w:r>
      <w:r>
        <w:t xml:space="preserve">Unreceived actuality</w:t>
      </w:r>
      <w:r>
        <w:t xml:space="preserve">”</w:t>
      </w:r>
      <w:r>
        <w:t xml:space="preserve"> </w:t>
      </w:r>
      <w:r>
        <w:t xml:space="preserve">is actuality under a negative dependence status, not another mysterious object beyond actuality. The best verdict is a constrained primitive network terminating asymmetrically, rather than a proof by virtuous circle. Actuality remains primitive in real realization; causation, qualitative content, constituency, mode, and intrinsic/modal distinctions remain independently assessed. Putting all of them inside an enriched dependence predicate would relocate the explanation.</w:t>
      </w:r>
    </w:p>
    <w:bookmarkEnd w:id="326"/>
    <w:bookmarkStart w:id="327" w:name="the-whole-account-in-ordinary-english"/>
    <w:p>
      <w:pPr>
        <w:pStyle w:val="Heading3"/>
      </w:pPr>
      <w:r>
        <w:t xml:space="preserve">11. The whole account in ordinary English</w:t>
      </w:r>
    </w:p>
    <w:p>
      <w:pPr>
        <w:pStyle w:val="FirstParagraph"/>
      </w:pPr>
      <w:r>
        <w:t xml:space="preserve">A finite being can receive real actuality from a source and express that source in its own mode. If the source is underived and unlimited, composition would make it dependent, and it cannot be an intrinsic constituent of bounded actuality. Many finite effects need not divide, complete, or change its intrinsic fullness. The receiver’s measure measures the reception, not the source. This grammar supplies neither source existence nor free creation by itself: those require further arguments.</w:t>
      </w:r>
    </w:p>
    <w:p>
      <w:pPr>
        <w:pStyle w:val="BodyText"/>
      </w:pPr>
      <w:r>
        <w:t xml:space="preserve">The</w:t>
      </w:r>
      <w:r>
        <w:t xml:space="preserve"> </w:t>
      </w:r>
      <w:r>
        <w:t xml:space="preserve">“</w:t>
      </w:r>
      <w:r>
        <w:t xml:space="preserve">third way</w:t>
      </w:r>
      <w:r>
        <w:t xml:space="preserve">”</w:t>
      </w:r>
      <w:r>
        <w:t xml:space="preserve"> </w:t>
      </w:r>
      <w:r>
        <w:t xml:space="preserve">is a combination of asymmetric dependence, productive causation, qualitative likeness, and finite reception. Creator and creature are genuinely different. Difference need not entail distance, intimacy identity, likeness genus, dependence rivalry, presence constitution, or communication division. This is not</w:t>
      </w:r>
      <w:r>
        <w:t xml:space="preserve"> </w:t>
      </w:r>
      <w:r>
        <w:t xml:space="preserve">“</w:t>
      </w:r>
      <w:r>
        <w:t xml:space="preserve">neither identical nor different.</w:t>
      </w:r>
      <w:r>
        <w:t xml:space="preserve">”</w:t>
      </w:r>
    </w:p>
    <w:bookmarkEnd w:id="327"/>
    <w:bookmarkStart w:id="328" w:name="final-formal-statement"/>
    <w:p>
      <w:pPr>
        <w:pStyle w:val="Heading3"/>
      </w:pPr>
      <w:r>
        <w:t xml:space="preserve">12. Final formal statement</w:t>
      </w:r>
    </w:p>
    <w:p>
      <w:pPr>
        <w:pStyle w:val="SourceCode"/>
      </w:pPr>
      <w:r>
        <w:rPr>
          <w:rStyle w:val="VerbatimChar"/>
        </w:rPr>
        <w:t xml:space="preserve">Primitives: C, D, H, K, J; disclosed worlds, indices and ordered modes.</w:t>
      </w:r>
      <w:r>
        <w:br/>
      </w:r>
      <w:r>
        <w:rPr>
          <w:rStyle w:val="VerbatimChar"/>
        </w:rPr>
        <w:t xml:space="preserve">A(x) := ∃m H(x,e,m); μₑ(x) := its complete mode.</w:t>
      </w:r>
      <w:r>
        <w:br/>
      </w:r>
      <w:r>
        <w:rPr>
          <w:rStyle w:val="VerbatimChar"/>
        </w:rPr>
        <w:t xml:space="preserve">Base: G ∧ CP ∧ U ∧ Q ∧ KD ∧ KH ∧ FS ∧ FC ∧ X.</w:t>
      </w:r>
      <w:r>
        <w:br/>
      </w:r>
      <w:r>
        <w:rPr>
          <w:rStyle w:val="VerbatimChar"/>
        </w:rPr>
        <w:t xml:space="preserve">Rec(x,q,g) := C(g,x,q) ∧ ∃m H(x,q,m).</w:t>
      </w:r>
      <w:r>
        <w:br/>
      </w:r>
      <w:r>
        <w:rPr>
          <w:rStyle w:val="VerbatimChar"/>
        </w:rPr>
        <w:t xml:space="preserve">P(x,g,q) := Rec(x,q,g) ∧ D(x,g,q).</w:t>
      </w:r>
      <w:r>
        <w:br/>
      </w:r>
      <w:r>
        <w:rPr>
          <w:rStyle w:val="VerbatimChar"/>
        </w:rPr>
        <w:t xml:space="preserve">L(x,g,q) := ∃m,n [H(x,q,m) ∧ H(g,q,n)].</w:t>
      </w:r>
      <w:r>
        <w:br/>
      </w:r>
      <w:r>
        <w:rPr>
          <w:rStyle w:val="VerbatimChar"/>
        </w:rPr>
        <w:t xml:space="preserve">Rec ⇒ P by CP; P ⇒ L by Q; P ⇒ x≠g by U.</w:t>
      </w:r>
      <w:r>
        <w:br/>
      </w:r>
      <w:r>
        <w:rPr>
          <w:rStyle w:val="VerbatimChar"/>
        </w:rPr>
        <w:t xml:space="preserve">K(z,g) ⇒ D(g,z,e), contradicting U.</w:t>
      </w:r>
      <w:r>
        <w:br/>
      </w:r>
      <w:r>
        <w:rPr>
          <w:rStyle w:val="VerbatimChar"/>
        </w:rPr>
        <w:t xml:space="preserve">K(g,x) ⇒ μₑ(g)≤μₑ(x), contradicting FS + FC.</w:t>
      </w:r>
      <w:r>
        <w:br/>
      </w:r>
      <w:r>
        <w:rPr>
          <w:rStyle w:val="VerbatimChar"/>
        </w:rPr>
        <w:t xml:space="preserve">finite x ⇒ μₑ(x)&lt;μₑ(g), by FS + FC.</w:t>
      </w:r>
      <w:r>
        <w:br/>
      </w:r>
      <w:r>
        <w:rPr>
          <w:rStyle w:val="VerbatimChar"/>
        </w:rPr>
        <w:t xml:space="preserve">Strong genus exclusion requires N.</w:t>
      </w:r>
      <w:r>
        <w:br/>
      </w:r>
      <w:r>
        <w:rPr>
          <w:rStyle w:val="VerbatimChar"/>
        </w:rPr>
        <w:t xml:space="preserve">Universal finite contingency requires accessible same-fullness omission alternatives.</w:t>
      </w:r>
      <w:r>
        <w:br/>
      </w:r>
      <w:r>
        <w:rPr>
          <w:rStyle w:val="VerbatimChar"/>
        </w:rPr>
        <w:t xml:space="preserve">Intentional freedom additionally requires unnecessitated intelligent selection.</w:t>
      </w:r>
    </w:p>
    <w:bookmarkEnd w:id="328"/>
    <w:bookmarkStart w:id="329" w:name="evidence-and-reading-paths"/>
    <w:p>
      <w:pPr>
        <w:pStyle w:val="Heading3"/>
      </w:pPr>
      <w:r>
        <w:t xml:space="preserve">Evidence and reading paths</w:t>
      </w:r>
    </w:p>
    <w:tbl>
      <w:tblPr>
        <w:tblStyle w:val="TableGrid"/>
        <w:tblW w:type="dxa" w:w="9936"/>
        <w:jc w:val="left"/>
        <w:tblLayout w:type="fixed"/>
        <w:tblLook w:firstRow="1" w:lastRow="0" w:firstColumn="0" w:lastColumn="0" w:noHBand="0" w:noVBand="0" w:val="0020"/>
      </w:tblPr>
      <w:tblGrid>
        <w:gridCol w:w="3312"/>
        <w:gridCol w:w="3312"/>
        <w:gridCol w:w="3312"/>
      </w:tblGrid>
      <w:tr>
        <w:trPr>
          <w:tblHeader w:val="true"/>
        </w:trPr>
        <w:tc>
          <w:tcPr>
            <w:tcW w:type="dxa" w:w="3312"/>
            <w:shd w:fill="EAE5DA"/>
          </w:tcPr>
          <w:p>
            <w:pPr>
              <w:pStyle w:val="BodyText"/>
              <w:keepNext w:val="0"/>
              <w:spacing w:after="80" w:line="252" w:lineRule="auto"/>
              <w:jc w:val="left"/>
            </w:pPr>
            <w:r>
              <w:rPr>
                <w:rFonts w:ascii="Calibri" w:hAnsi="Calibri"/>
                <w:b/>
                <w:sz w:val="17"/>
              </w:rPr>
              <w:t xml:space="preserve">Source</w:t>
            </w:r>
          </w:p>
        </w:tc>
        <w:tc>
          <w:tcPr>
            <w:tcW w:type="dxa" w:w="3312"/>
            <w:shd w:fill="EAE5DA"/>
          </w:tcPr>
          <w:p>
            <w:pPr>
              <w:pStyle w:val="BodyText"/>
              <w:keepNext w:val="0"/>
              <w:spacing w:after="80" w:line="252" w:lineRule="auto"/>
              <w:jc w:val="left"/>
            </w:pPr>
            <w:r>
              <w:rPr>
                <w:rFonts w:ascii="Calibri" w:hAnsi="Calibri"/>
                <w:b/>
                <w:sz w:val="17"/>
              </w:rPr>
              <w:t xml:space="preserve">Status</w:t>
            </w:r>
          </w:p>
        </w:tc>
        <w:tc>
          <w:tcPr>
            <w:tcW w:type="dxa" w:w="3312"/>
            <w:shd w:fill="EAE5DA"/>
          </w:tcPr>
          <w:p>
            <w:pPr>
              <w:pStyle w:val="BodyText"/>
              <w:keepNext w:val="0"/>
              <w:spacing w:after="80" w:line="252" w:lineRule="auto"/>
              <w:jc w:val="left"/>
            </w:pPr>
            <w:r>
              <w:rPr>
                <w:rFonts w:ascii="Calibri" w:hAnsi="Calibri"/>
                <w:b/>
                <w:sz w:val="17"/>
              </w:rPr>
              <w:t xml:space="preserve">Consultation / limits</w:t>
            </w:r>
          </w:p>
        </w:tc>
      </w:tr>
      <w:tr>
        <w:tc>
          <w:tcPr>
            <w:tcW w:type="dxa" w:w="3312"/>
          </w:tcPr>
          <w:p>
            <w:pPr>
              <w:pStyle w:val="BodyText"/>
              <w:keepNext w:val="0"/>
              <w:spacing w:after="80" w:line="252" w:lineRule="auto"/>
              <w:jc w:val="left"/>
            </w:pPr>
            <w:hyperlink r:id="rId262">
              <w:r>
                <w:rPr>
                  <w:rStyle w:val="Hyperlink"/>
                </w:rPr>
                <w:t xml:space="preserve">Aristotle, Metaphysics</w:t>
              </w:r>
            </w:hyperlink>
          </w:p>
        </w:tc>
        <w:tc>
          <w:tcPr>
            <w:tcW w:type="dxa" w:w="3312"/>
          </w:tcPr>
          <w:p>
            <w:pPr>
              <w:pStyle w:val="BodyText"/>
              <w:keepNext w:val="0"/>
              <w:spacing w:after="80" w:line="252" w:lineRule="auto"/>
              <w:jc w:val="left"/>
            </w:pPr>
            <w:r>
              <w:rPr>
                <w:rFonts w:ascii="Calibri" w:hAnsi="Calibri"/>
                <w:sz w:val="17"/>
              </w:rPr>
              <w:t xml:space="preserve">primary</w:t>
            </w:r>
          </w:p>
        </w:tc>
        <w:tc>
          <w:tcPr>
            <w:tcW w:type="dxa" w:w="3312"/>
          </w:tcPr>
          <w:p>
            <w:pPr>
              <w:pStyle w:val="BodyText"/>
              <w:keepNext w:val="0"/>
              <w:spacing w:after="80" w:line="252" w:lineRule="auto"/>
              <w:jc w:val="left"/>
            </w:pPr>
            <w:r>
              <w:rPr>
                <w:rFonts w:ascii="Calibri" w:hAnsi="Calibri"/>
                <w:sz w:val="17"/>
              </w:rPr>
              <w:t xml:space="preserve">Hugh Tredennick, Perseus digital XML; selected passages consulted with Bekker milestones. Causal orders, being not a genus, and actuality-priority supply background; none independently yields Christian creation.</w:t>
            </w:r>
          </w:p>
        </w:tc>
      </w:tr>
      <w:tr>
        <w:tc>
          <w:tcPr>
            <w:tcW w:type="dxa" w:w="3312"/>
          </w:tcPr>
          <w:p>
            <w:pPr>
              <w:pStyle w:val="BodyText"/>
              <w:keepNext w:val="0"/>
              <w:spacing w:after="80" w:line="252" w:lineRule="auto"/>
              <w:jc w:val="left"/>
            </w:pPr>
            <w:hyperlink r:id="rId264">
              <w:r>
                <w:rPr>
                  <w:rStyle w:val="Hyperlink"/>
                </w:rPr>
                <w:t xml:space="preserve">Plotinus, Enneads</w:t>
              </w:r>
            </w:hyperlink>
          </w:p>
        </w:tc>
        <w:tc>
          <w:tcPr>
            <w:tcW w:type="dxa" w:w="3312"/>
          </w:tcPr>
          <w:p>
            <w:pPr>
              <w:pStyle w:val="BodyText"/>
              <w:keepNext w:val="0"/>
              <w:spacing w:after="80" w:line="252" w:lineRule="auto"/>
              <w:jc w:val="left"/>
            </w:pPr>
            <w:r>
              <w:rPr>
                <w:rFonts w:ascii="Calibri" w:hAnsi="Calibri"/>
                <w:sz w:val="17"/>
              </w:rPr>
              <w:t xml:space="preserve">primary</w:t>
            </w:r>
          </w:p>
        </w:tc>
        <w:tc>
          <w:tcPr>
            <w:tcW w:type="dxa" w:w="3312"/>
          </w:tcPr>
          <w:p>
            <w:pPr>
              <w:pStyle w:val="BodyText"/>
              <w:keepNext w:val="0"/>
              <w:spacing w:after="80" w:line="252" w:lineRule="auto"/>
              <w:jc w:val="left"/>
            </w:pPr>
            <w:r>
              <w:rPr>
                <w:rFonts w:ascii="Calibri" w:hAnsi="Calibri"/>
                <w:sz w:val="17"/>
              </w:rPr>
              <w:t xml:space="preserve">Kenneth Sylvan Guthrie, older translation, GITenberg volume I; selected treatises consulted. V.2.1 and VI.9 clarify nonpartition; V.1.6 supplies modal pressure. Armstrong’s critical edition remains a follow-up.</w:t>
            </w:r>
          </w:p>
        </w:tc>
      </w:tr>
      <w:tr>
        <w:tc>
          <w:tcPr>
            <w:tcW w:type="dxa" w:w="3312"/>
          </w:tcPr>
          <w:p>
            <w:pPr>
              <w:pStyle w:val="BodyText"/>
              <w:keepNext w:val="0"/>
              <w:spacing w:after="80" w:line="252" w:lineRule="auto"/>
              <w:jc w:val="left"/>
            </w:pPr>
            <w:hyperlink r:id="rId266">
              <w:r>
                <w:rPr>
                  <w:rStyle w:val="Hyperlink"/>
                </w:rPr>
                <w:t xml:space="preserve">Gregory of Nyssa, On the Making of Man XVI</w:t>
              </w:r>
            </w:hyperlink>
          </w:p>
        </w:tc>
        <w:tc>
          <w:tcPr>
            <w:tcW w:type="dxa" w:w="3312"/>
          </w:tcPr>
          <w:p>
            <w:pPr>
              <w:pStyle w:val="BodyText"/>
              <w:keepNext w:val="0"/>
              <w:spacing w:after="80" w:line="252" w:lineRule="auto"/>
              <w:jc w:val="left"/>
            </w:pPr>
            <w:r>
              <w:rPr>
                <w:rFonts w:ascii="Calibri" w:hAnsi="Calibri"/>
                <w:sz w:val="17"/>
              </w:rPr>
              <w:t xml:space="preserve">primary</w:t>
            </w:r>
          </w:p>
        </w:tc>
        <w:tc>
          <w:tcPr>
            <w:tcW w:type="dxa" w:w="3312"/>
          </w:tcPr>
          <w:p>
            <w:pPr>
              <w:pStyle w:val="BodyText"/>
              <w:keepNext w:val="0"/>
              <w:spacing w:after="80" w:line="252" w:lineRule="auto"/>
              <w:jc w:val="left"/>
            </w:pPr>
            <w:r>
              <w:rPr>
                <w:rFonts w:ascii="Calibri" w:hAnsi="Calibri"/>
                <w:sz w:val="17"/>
              </w:rPr>
              <w:t xml:space="preserve">Moore / Wilson translation, Standard Ebooks transcription; edition provenance checked. Likeness in attributes, created–uncreated difference, and creaturely measure are directly verified. Life of Moses remains a separate unconsulted lead.</w:t>
            </w:r>
          </w:p>
        </w:tc>
      </w:tr>
      <w:tr>
        <w:tc>
          <w:tcPr>
            <w:tcW w:type="dxa" w:w="3312"/>
          </w:tcPr>
          <w:p>
            <w:pPr>
              <w:pStyle w:val="BodyText"/>
              <w:keepNext w:val="0"/>
              <w:spacing w:after="80" w:line="252" w:lineRule="auto"/>
              <w:jc w:val="left"/>
            </w:pPr>
            <w:hyperlink r:id="rId268">
              <w:r>
                <w:rPr>
                  <w:rStyle w:val="Hyperlink"/>
                </w:rPr>
                <w:t xml:space="preserve">Dionysius, Divine Names</w:t>
              </w:r>
            </w:hyperlink>
          </w:p>
        </w:tc>
        <w:tc>
          <w:tcPr>
            <w:tcW w:type="dxa" w:w="3312"/>
          </w:tcPr>
          <w:p>
            <w:pPr>
              <w:pStyle w:val="BodyText"/>
              <w:keepNext w:val="0"/>
              <w:spacing w:after="80" w:line="252" w:lineRule="auto"/>
              <w:jc w:val="left"/>
            </w:pPr>
            <w:r>
              <w:rPr>
                <w:rFonts w:ascii="Calibri" w:hAnsi="Calibri"/>
                <w:sz w:val="17"/>
              </w:rPr>
              <w:t xml:space="preserve">primary</w:t>
            </w:r>
          </w:p>
        </w:tc>
        <w:tc>
          <w:tcPr>
            <w:tcW w:type="dxa" w:w="3312"/>
          </w:tcPr>
          <w:p>
            <w:pPr>
              <w:pStyle w:val="BodyText"/>
              <w:keepNext w:val="0"/>
              <w:spacing w:after="80" w:line="252" w:lineRule="auto"/>
              <w:jc w:val="left"/>
            </w:pPr>
            <w:r>
              <w:rPr>
                <w:rFonts w:ascii="Calibri" w:hAnsi="Calibri"/>
                <w:sz w:val="17"/>
              </w:rPr>
              <w:t xml:space="preserve">Calfa / GREgORI academic PG 3 Greek OCR, unproofread; selected clauses consulted. II.5, V.8, IX.6–7 support nonpartition and recipient-mode. OCR was not collated with a critical edition; exact wording remains provisional.</w:t>
            </w:r>
          </w:p>
        </w:tc>
      </w:tr>
      <w:tr>
        <w:tc>
          <w:tcPr>
            <w:tcW w:type="dxa" w:w="3312"/>
          </w:tcPr>
          <w:p>
            <w:pPr>
              <w:pStyle w:val="BodyText"/>
              <w:keepNext w:val="0"/>
              <w:spacing w:after="80" w:line="252" w:lineRule="auto"/>
              <w:jc w:val="left"/>
            </w:pPr>
            <w:hyperlink r:id="rId270">
              <w:r>
                <w:rPr>
                  <w:rStyle w:val="Hyperlink"/>
                </w:rPr>
                <w:t xml:space="preserve">Maximus, Ambiguum 7</w:t>
              </w:r>
            </w:hyperlink>
          </w:p>
        </w:tc>
        <w:tc>
          <w:tcPr>
            <w:tcW w:type="dxa" w:w="3312"/>
          </w:tcPr>
          <w:p>
            <w:pPr>
              <w:pStyle w:val="BodyText"/>
              <w:keepNext w:val="0"/>
              <w:spacing w:after="80" w:line="252" w:lineRule="auto"/>
              <w:jc w:val="left"/>
            </w:pPr>
            <w:r>
              <w:rPr>
                <w:rFonts w:ascii="Calibri" w:hAnsi="Calibri"/>
                <w:sz w:val="17"/>
              </w:rPr>
              <w:t xml:space="preserve">primary</w:t>
            </w:r>
          </w:p>
        </w:tc>
        <w:tc>
          <w:tcPr>
            <w:tcW w:type="dxa" w:w="3312"/>
          </w:tcPr>
          <w:p>
            <w:pPr>
              <w:pStyle w:val="BodyText"/>
              <w:keepNext w:val="0"/>
              <w:spacing w:after="80" w:line="252" w:lineRule="auto"/>
              <w:jc w:val="left"/>
            </w:pPr>
            <w:r>
              <w:rPr>
                <w:rFonts w:ascii="Calibri" w:hAnsi="Calibri"/>
                <w:sz w:val="17"/>
              </w:rPr>
              <w:t xml:space="preserve">Provisional Greek transcription mirror; source edition undocumented. Selected passage consulted. The passage distinguishes logoi/preknowledge from created actualization. Reliable Constas-edition verification remains pending.</w:t>
            </w:r>
          </w:p>
        </w:tc>
      </w:tr>
      <w:tr>
        <w:tc>
          <w:tcPr>
            <w:tcW w:type="dxa" w:w="3312"/>
          </w:tcPr>
          <w:p>
            <w:pPr>
              <w:pStyle w:val="BodyText"/>
              <w:keepNext w:val="0"/>
              <w:spacing w:after="80" w:line="252" w:lineRule="auto"/>
              <w:jc w:val="left"/>
            </w:pPr>
            <w:hyperlink r:id="rId272">
              <w:r>
                <w:rPr>
                  <w:rStyle w:val="Hyperlink"/>
                </w:rPr>
                <w:t xml:space="preserve">Plato, Parmenides; Timaeus; Republic</w:t>
              </w:r>
            </w:hyperlink>
          </w:p>
        </w:tc>
        <w:tc>
          <w:tcPr>
            <w:tcW w:type="dxa" w:w="3312"/>
          </w:tcPr>
          <w:p>
            <w:pPr>
              <w:pStyle w:val="BodyText"/>
              <w:keepNext w:val="0"/>
              <w:spacing w:after="80" w:line="252" w:lineRule="auto"/>
              <w:jc w:val="left"/>
            </w:pPr>
            <w:r>
              <w:rPr>
                <w:rFonts w:ascii="Calibri" w:hAnsi="Calibri"/>
                <w:sz w:val="17"/>
              </w:rPr>
              <w:t xml:space="preserve">primary</w:t>
            </w:r>
          </w:p>
        </w:tc>
        <w:tc>
          <w:tcPr>
            <w:tcW w:type="dxa" w:w="3312"/>
          </w:tcPr>
          <w:p>
            <w:pPr>
              <w:pStyle w:val="BodyText"/>
              <w:keepNext w:val="0"/>
              <w:spacing w:after="80" w:line="252" w:lineRule="auto"/>
              <w:jc w:val="left"/>
            </w:pPr>
            <w:r>
              <w:rPr>
                <w:rFonts w:ascii="Calibri" w:hAnsi="Calibri"/>
                <w:sz w:val="17"/>
              </w:rPr>
              <w:t xml:space="preserve">Benjamin Jowett translations, public-domain Gutenberg mirrors. Read selected passages; antiquated translations. The whole/part dilemma and exemplar language are verified; Greek philology is not supplied by these translations.</w:t>
            </w:r>
          </w:p>
        </w:tc>
      </w:tr>
      <w:tr>
        <w:tc>
          <w:tcPr>
            <w:tcW w:type="dxa" w:w="3312"/>
          </w:tcPr>
          <w:p>
            <w:pPr>
              <w:pStyle w:val="BodyText"/>
              <w:keepNext w:val="0"/>
              <w:spacing w:after="80" w:line="252" w:lineRule="auto"/>
              <w:jc w:val="left"/>
            </w:pPr>
            <w:hyperlink r:id="rId274">
              <w:r>
                <w:rPr>
                  <w:rStyle w:val="Hyperlink"/>
                </w:rPr>
                <w:t xml:space="preserve">Augustine, City of God XI.10</w:t>
              </w:r>
            </w:hyperlink>
          </w:p>
        </w:tc>
        <w:tc>
          <w:tcPr>
            <w:tcW w:type="dxa" w:w="3312"/>
          </w:tcPr>
          <w:p>
            <w:pPr>
              <w:pStyle w:val="BodyText"/>
              <w:keepNext w:val="0"/>
              <w:spacing w:after="80" w:line="252" w:lineRule="auto"/>
              <w:jc w:val="left"/>
            </w:pPr>
            <w:r>
              <w:rPr>
                <w:rFonts w:ascii="Calibri" w:hAnsi="Calibri"/>
                <w:sz w:val="17"/>
              </w:rPr>
              <w:t xml:space="preserve">primary</w:t>
            </w:r>
          </w:p>
        </w:tc>
        <w:tc>
          <w:tcPr>
            <w:tcW w:type="dxa" w:w="3312"/>
          </w:tcPr>
          <w:p>
            <w:pPr>
              <w:pStyle w:val="BodyText"/>
              <w:keepNext w:val="0"/>
              <w:spacing w:after="80" w:line="252" w:lineRule="auto"/>
              <w:jc w:val="left"/>
            </w:pPr>
            <w:r>
              <w:rPr>
                <w:rFonts w:ascii="Calibri" w:hAnsi="Calibri"/>
                <w:sz w:val="17"/>
              </w:rPr>
              <w:t xml:space="preserve">Marcus Dods translation, vol. I; Gutenberg #45304. Selected chapter consulted. Simple God</w:t>
            </w:r>
            <w:r>
              <w:rPr>
                <w:rFonts w:ascii="Calibri" w:hAnsi="Calibri"/>
                <w:sz w:val="17"/>
              </w:rPr>
              <w:t xml:space="preserve"> </w:t>
            </w:r>
            <w:r>
              <w:rPr>
                <w:rFonts w:ascii="Calibri" w:hAnsi="Calibri"/>
                <w:sz w:val="17"/>
              </w:rPr>
              <w:t xml:space="preserve">“</w:t>
            </w:r>
            <w:r>
              <w:rPr>
                <w:rFonts w:ascii="Calibri" w:hAnsi="Calibri"/>
                <w:sz w:val="17"/>
              </w:rPr>
              <w:t xml:space="preserve">is what it has</w:t>
            </w:r>
            <w:r>
              <w:rPr>
                <w:rFonts w:ascii="Calibri" w:hAnsi="Calibri"/>
                <w:sz w:val="17"/>
              </w:rPr>
              <w:t xml:space="preserve">”</w:t>
            </w:r>
            <w:r>
              <w:rPr>
                <w:rFonts w:ascii="Calibri" w:hAnsi="Calibri"/>
                <w:sz w:val="17"/>
              </w:rPr>
              <w:t xml:space="preserve">; received creaturely wisdom is contrasted with divine wisdom. Related q.46 remains a locus lead.</w:t>
            </w:r>
          </w:p>
        </w:tc>
      </w:tr>
      <w:tr>
        <w:tc>
          <w:tcPr>
            <w:tcW w:type="dxa" w:w="3312"/>
          </w:tcPr>
          <w:p>
            <w:pPr>
              <w:pStyle w:val="BodyText"/>
              <w:keepNext w:val="0"/>
              <w:spacing w:after="80" w:line="252" w:lineRule="auto"/>
              <w:jc w:val="left"/>
            </w:pPr>
            <w:hyperlink r:id="rId276">
              <w:r>
                <w:rPr>
                  <w:rStyle w:val="Hyperlink"/>
                </w:rPr>
                <w:t xml:space="preserve">Anselm, Monologion</w:t>
              </w:r>
            </w:hyperlink>
          </w:p>
        </w:tc>
        <w:tc>
          <w:tcPr>
            <w:tcW w:type="dxa" w:w="3312"/>
          </w:tcPr>
          <w:p>
            <w:pPr>
              <w:pStyle w:val="BodyText"/>
              <w:keepNext w:val="0"/>
              <w:spacing w:after="80" w:line="252" w:lineRule="auto"/>
              <w:jc w:val="left"/>
            </w:pPr>
            <w:r>
              <w:rPr>
                <w:rFonts w:ascii="Calibri" w:hAnsi="Calibri"/>
                <w:sz w:val="17"/>
              </w:rPr>
              <w:t xml:space="preserve">primary</w:t>
            </w:r>
          </w:p>
        </w:tc>
        <w:tc>
          <w:tcPr>
            <w:tcW w:type="dxa" w:w="3312"/>
          </w:tcPr>
          <w:p>
            <w:pPr>
              <w:pStyle w:val="BodyText"/>
              <w:keepNext w:val="0"/>
              <w:spacing w:after="80" w:line="252" w:lineRule="auto"/>
              <w:jc w:val="left"/>
            </w:pPr>
            <w:r>
              <w:rPr>
                <w:rFonts w:ascii="Calibri" w:hAnsi="Calibri"/>
                <w:sz w:val="17"/>
              </w:rPr>
              <w:t xml:space="preserve">Latin public-domain scan OCR mirror. Selected chapters consulted; OCR must be checked for quotation. Chapters 17, 31, and 34 anchor composition-dependence and asymmetric exemplar likeness; no unverified quotation is used.</w:t>
            </w:r>
          </w:p>
        </w:tc>
      </w:tr>
      <w:tr>
        <w:tc>
          <w:tcPr>
            <w:tcW w:type="dxa" w:w="3312"/>
          </w:tcPr>
          <w:p>
            <w:pPr>
              <w:pStyle w:val="BodyText"/>
              <w:keepNext w:val="0"/>
              <w:spacing w:after="80" w:line="252" w:lineRule="auto"/>
              <w:jc w:val="left"/>
            </w:pPr>
            <w:hyperlink r:id="rId278">
              <w:r>
                <w:rPr>
                  <w:rStyle w:val="Hyperlink"/>
                </w:rPr>
                <w:t xml:space="preserve">Aquinas, Summa Theologiae, Prima Pars</w:t>
              </w:r>
            </w:hyperlink>
          </w:p>
        </w:tc>
        <w:tc>
          <w:tcPr>
            <w:tcW w:type="dxa" w:w="3312"/>
          </w:tcPr>
          <w:p>
            <w:pPr>
              <w:pStyle w:val="BodyText"/>
              <w:keepNext w:val="0"/>
              <w:spacing w:after="80" w:line="252" w:lineRule="auto"/>
              <w:jc w:val="left"/>
            </w:pPr>
            <w:r>
              <w:rPr>
                <w:rFonts w:ascii="Calibri" w:hAnsi="Calibri"/>
                <w:sz w:val="17"/>
              </w:rPr>
              <w:t xml:space="preserve">primary</w:t>
            </w:r>
          </w:p>
        </w:tc>
        <w:tc>
          <w:tcPr>
            <w:tcW w:type="dxa" w:w="3312"/>
          </w:tcPr>
          <w:p>
            <w:pPr>
              <w:pStyle w:val="BodyText"/>
              <w:keepNext w:val="0"/>
              <w:spacing w:after="80" w:line="252" w:lineRule="auto"/>
              <w:jc w:val="left"/>
            </w:pPr>
            <w:r>
              <w:rPr>
                <w:rFonts w:ascii="Calibri" w:hAnsi="Calibri"/>
                <w:sz w:val="17"/>
              </w:rPr>
              <w:t xml:space="preserve">English Dominican Fathers, Complete American Edition; Gutenberg #17611. Selected articles consulted. Causation of necessary beings, primary/secondary causality, divine ideas, analogy, simplicity, and mixed relations verified at article level.</w:t>
            </w:r>
          </w:p>
        </w:tc>
      </w:tr>
      <w:tr>
        <w:tc>
          <w:tcPr>
            <w:tcW w:type="dxa" w:w="3312"/>
          </w:tcPr>
          <w:p>
            <w:pPr>
              <w:pStyle w:val="BodyText"/>
              <w:keepNext w:val="0"/>
              <w:spacing w:after="80" w:line="252" w:lineRule="auto"/>
              <w:jc w:val="left"/>
            </w:pPr>
            <w:hyperlink r:id="rId280">
              <w:r>
                <w:rPr>
                  <w:rStyle w:val="Hyperlink"/>
                </w:rPr>
                <w:t xml:space="preserve">Newman, Essay on the Development of Christian Doctrine</w:t>
              </w:r>
            </w:hyperlink>
          </w:p>
        </w:tc>
        <w:tc>
          <w:tcPr>
            <w:tcW w:type="dxa" w:w="3312"/>
          </w:tcPr>
          <w:p>
            <w:pPr>
              <w:pStyle w:val="BodyText"/>
              <w:keepNext w:val="0"/>
              <w:spacing w:after="80" w:line="252" w:lineRule="auto"/>
              <w:jc w:val="left"/>
            </w:pPr>
            <w:r>
              <w:rPr>
                <w:rFonts w:ascii="Calibri" w:hAnsi="Calibri"/>
                <w:sz w:val="17"/>
              </w:rPr>
              <w:t xml:space="preserve">primary</w:t>
            </w:r>
          </w:p>
        </w:tc>
        <w:tc>
          <w:tcPr>
            <w:tcW w:type="dxa" w:w="3312"/>
          </w:tcPr>
          <w:p>
            <w:pPr>
              <w:pStyle w:val="BodyText"/>
              <w:keepNext w:val="0"/>
              <w:spacing w:after="80" w:line="252" w:lineRule="auto"/>
              <w:jc w:val="left"/>
            </w:pPr>
            <w:r>
              <w:rPr>
                <w:rFonts w:ascii="Calibri" w:hAnsi="Calibri"/>
                <w:sz w:val="17"/>
              </w:rPr>
              <w:t xml:space="preserve">Gutenberg #35110 mirror; chapter V consulted. The seven notes and their varying independence/applicability were checked. Newman is used analogically, not to certify a doctrine.</w:t>
            </w:r>
          </w:p>
        </w:tc>
      </w:tr>
      <w:tr>
        <w:tc>
          <w:tcPr>
            <w:tcW w:type="dxa" w:w="3312"/>
          </w:tcPr>
          <w:p>
            <w:pPr>
              <w:pStyle w:val="BodyText"/>
              <w:keepNext w:val="0"/>
              <w:spacing w:after="80" w:line="252" w:lineRule="auto"/>
              <w:jc w:val="left"/>
            </w:pPr>
            <w:hyperlink r:id="rId282">
              <w:r>
                <w:rPr>
                  <w:rStyle w:val="Hyperlink"/>
                </w:rPr>
                <w:t xml:space="preserve">John Damascene, On Holy Images</w:t>
              </w:r>
            </w:hyperlink>
          </w:p>
        </w:tc>
        <w:tc>
          <w:tcPr>
            <w:tcW w:type="dxa" w:w="3312"/>
          </w:tcPr>
          <w:p>
            <w:pPr>
              <w:pStyle w:val="BodyText"/>
              <w:keepNext w:val="0"/>
              <w:spacing w:after="80" w:line="252" w:lineRule="auto"/>
              <w:jc w:val="left"/>
            </w:pPr>
            <w:r>
              <w:rPr>
                <w:rFonts w:ascii="Calibri" w:hAnsi="Calibri"/>
                <w:sz w:val="17"/>
              </w:rPr>
              <w:t xml:space="preserve">primary</w:t>
            </w:r>
          </w:p>
        </w:tc>
        <w:tc>
          <w:tcPr>
            <w:tcW w:type="dxa" w:w="3312"/>
          </w:tcPr>
          <w:p>
            <w:pPr>
              <w:pStyle w:val="BodyText"/>
              <w:keepNext w:val="0"/>
              <w:spacing w:after="80" w:line="252" w:lineRule="auto"/>
              <w:jc w:val="left"/>
            </w:pPr>
            <w:r>
              <w:rPr>
                <w:rFonts w:ascii="Calibri" w:hAnsi="Calibri"/>
                <w:sz w:val="17"/>
              </w:rPr>
              <w:t xml:space="preserve">Mary H. Allies, 1898; Gutenberg #49917 mirror. Selected image-type discussion consulted. Translation has an anachronistic identification in one passage; the dossier records it and restricts constructive use.</w:t>
            </w:r>
          </w:p>
        </w:tc>
      </w:tr>
      <w:tr>
        <w:tc>
          <w:tcPr>
            <w:tcW w:type="dxa" w:w="3312"/>
          </w:tcPr>
          <w:p>
            <w:pPr>
              <w:pStyle w:val="BodyText"/>
              <w:keepNext w:val="0"/>
              <w:spacing w:after="80" w:line="252" w:lineRule="auto"/>
              <w:jc w:val="left"/>
            </w:pPr>
            <w:hyperlink r:id="rId284">
              <w:r>
                <w:rPr>
                  <w:rStyle w:val="Hyperlink"/>
                </w:rPr>
                <w:t xml:space="preserve">Stanford Encyclopedia: archived article-body mirror</w:t>
              </w:r>
            </w:hyperlink>
          </w:p>
        </w:tc>
        <w:tc>
          <w:tcPr>
            <w:tcW w:type="dxa" w:w="3312"/>
          </w:tcPr>
          <w:p>
            <w:pPr>
              <w:pStyle w:val="BodyText"/>
              <w:keepNext w:val="0"/>
              <w:spacing w:after="80" w:line="252" w:lineRule="auto"/>
              <w:jc w:val="left"/>
            </w:pPr>
            <w:r>
              <w:rPr>
                <w:rFonts w:ascii="Calibri" w:hAnsi="Calibri"/>
                <w:sz w:val="17"/>
              </w:rPr>
              <w:t xml:space="preserve">secondary</w:t>
            </w:r>
          </w:p>
        </w:tc>
        <w:tc>
          <w:tcPr>
            <w:tcW w:type="dxa" w:w="3312"/>
          </w:tcPr>
          <w:p>
            <w:pPr>
              <w:pStyle w:val="BodyText"/>
              <w:keepNext w:val="0"/>
              <w:spacing w:after="80" w:line="252" w:lineRule="auto"/>
              <w:jc w:val="left"/>
            </w:pPr>
            <w:r>
              <w:rPr>
                <w:rFonts w:ascii="Calibri" w:hAnsi="Calibri"/>
                <w:sz w:val="17"/>
              </w:rPr>
              <w:t xml:space="preserve">Readable SEP prose in philo2vec archive committed by August 2016; headers, bibliography, and individual revision dates absent. Selected Bonaventure, Henry, Anselm, Dionysius, Eriugena, Cusa and other entries consulted where recorded. This is archival secondary evidence, not a verified current edition.</w:t>
            </w:r>
          </w:p>
        </w:tc>
      </w:tr>
      <w:tr>
        <w:tc>
          <w:tcPr>
            <w:tcW w:type="dxa" w:w="3312"/>
          </w:tcPr>
          <w:p>
            <w:pPr>
              <w:pStyle w:val="BodyText"/>
              <w:keepNext w:val="0"/>
              <w:spacing w:after="80" w:line="252" w:lineRule="auto"/>
              <w:jc w:val="left"/>
            </w:pPr>
            <w:hyperlink r:id="rId286">
              <w:r>
                <w:rPr>
                  <w:rStyle w:val="Hyperlink"/>
                </w:rPr>
                <w:t xml:space="preserve">Gregory of Nyssa, Life of Moses</w:t>
              </w:r>
            </w:hyperlink>
          </w:p>
        </w:tc>
        <w:tc>
          <w:tcPr>
            <w:tcW w:type="dxa" w:w="3312"/>
          </w:tcPr>
          <w:p>
            <w:pPr>
              <w:pStyle w:val="BodyText"/>
              <w:keepNext w:val="0"/>
              <w:spacing w:after="80" w:line="252" w:lineRule="auto"/>
              <w:jc w:val="left"/>
            </w:pPr>
            <w:r>
              <w:rPr>
                <w:rFonts w:ascii="Calibri" w:hAnsi="Calibri"/>
                <w:sz w:val="17"/>
              </w:rPr>
              <w:t xml:space="preserve">pending</w:t>
            </w:r>
          </w:p>
        </w:tc>
        <w:tc>
          <w:tcPr>
            <w:tcW w:type="dxa" w:w="3312"/>
          </w:tcPr>
          <w:p>
            <w:pPr>
              <w:pStyle w:val="BodyText"/>
              <w:keepNext w:val="0"/>
              <w:spacing w:after="80" w:line="252" w:lineRule="auto"/>
              <w:jc w:val="left"/>
            </w:pPr>
            <w:r>
              <w:rPr>
                <w:rFonts w:ascii="Calibri" w:hAnsi="Calibri"/>
                <w:sz w:val="17"/>
              </w:rPr>
              <w:t xml:space="preserve">Abraham J. Malherbe and Everett Ferguson, Paulist Press, 1978; II.230–239. Primary locus and scholarly bibliography supplied in dossier; full reliable translation was not directly consulted in this run.</w:t>
            </w:r>
          </w:p>
        </w:tc>
      </w:tr>
      <w:tr>
        <w:tc>
          <w:tcPr>
            <w:tcW w:type="dxa" w:w="3312"/>
          </w:tcPr>
          <w:p>
            <w:pPr>
              <w:pStyle w:val="BodyText"/>
              <w:keepNext w:val="0"/>
              <w:spacing w:after="80" w:line="252" w:lineRule="auto"/>
              <w:jc w:val="left"/>
            </w:pPr>
            <w:hyperlink r:id="rId288">
              <w:r>
                <w:rPr>
                  <w:rStyle w:val="Hyperlink"/>
                </w:rPr>
                <w:t xml:space="preserve">Dionysius / Maximus: modern critical translations</w:t>
              </w:r>
            </w:hyperlink>
          </w:p>
        </w:tc>
        <w:tc>
          <w:tcPr>
            <w:tcW w:type="dxa" w:w="3312"/>
          </w:tcPr>
          <w:p>
            <w:pPr>
              <w:pStyle w:val="BodyText"/>
              <w:keepNext w:val="0"/>
              <w:spacing w:after="80" w:line="252" w:lineRule="auto"/>
              <w:jc w:val="left"/>
            </w:pPr>
            <w:r>
              <w:rPr>
                <w:rFonts w:ascii="Calibri" w:hAnsi="Calibri"/>
                <w:sz w:val="17"/>
              </w:rPr>
              <w:t xml:space="preserve">pending</w:t>
            </w:r>
          </w:p>
        </w:tc>
        <w:tc>
          <w:tcPr>
            <w:tcW w:type="dxa" w:w="3312"/>
          </w:tcPr>
          <w:p>
            <w:pPr>
              <w:pStyle w:val="BodyText"/>
              <w:keepNext w:val="0"/>
              <w:spacing w:after="80" w:line="252" w:lineRule="auto"/>
              <w:jc w:val="left"/>
            </w:pPr>
            <w:r>
              <w:rPr>
                <w:rFonts w:ascii="Calibri" w:hAnsi="Calibri"/>
                <w:sz w:val="17"/>
              </w:rPr>
              <w:t xml:space="preserve">Colm Luibheid / Paul Rorem (1987); Nicholas Constas (2014). Digital primary witnesses and secondary archive prose were read. The reliable modern complete translations remain unconsulted.</w:t>
            </w:r>
          </w:p>
        </w:tc>
      </w:tr>
      <w:tr>
        <w:tc>
          <w:tcPr>
            <w:tcW w:type="dxa" w:w="3312"/>
          </w:tcPr>
          <w:p>
            <w:pPr>
              <w:pStyle w:val="BodyText"/>
              <w:keepNext w:val="0"/>
              <w:spacing w:after="80" w:line="252" w:lineRule="auto"/>
              <w:jc w:val="left"/>
            </w:pPr>
            <w:hyperlink r:id="rId290">
              <w:r>
                <w:rPr>
                  <w:rStyle w:val="Hyperlink"/>
                </w:rPr>
                <w:t xml:space="preserve">Henry of Ghent; Duns Scotus</w:t>
              </w:r>
            </w:hyperlink>
          </w:p>
        </w:tc>
        <w:tc>
          <w:tcPr>
            <w:tcW w:type="dxa" w:w="3312"/>
          </w:tcPr>
          <w:p>
            <w:pPr>
              <w:pStyle w:val="BodyText"/>
              <w:keepNext w:val="0"/>
              <w:spacing w:after="80" w:line="252" w:lineRule="auto"/>
              <w:jc w:val="left"/>
            </w:pPr>
            <w:r>
              <w:rPr>
                <w:rFonts w:ascii="Calibri" w:hAnsi="Calibri"/>
                <w:sz w:val="17"/>
              </w:rPr>
              <w:t xml:space="preserve">pending</w:t>
            </w:r>
          </w:p>
        </w:tc>
        <w:tc>
          <w:tcPr>
            <w:tcW w:type="dxa" w:w="3312"/>
          </w:tcPr>
          <w:p>
            <w:pPr>
              <w:pStyle w:val="BodyText"/>
              <w:keepNext w:val="0"/>
              <w:spacing w:after="80" w:line="252" w:lineRule="auto"/>
              <w:jc w:val="left"/>
            </w:pPr>
            <w:r>
              <w:rPr>
                <w:rFonts w:ascii="Calibri" w:hAnsi="Calibri"/>
                <w:sz w:val="17"/>
              </w:rPr>
              <w:t xml:space="preserve">Critical scholastic editions and specialist works listed in the dossiers. Henry archived secondary prose consulted. Primary Henry and Scotus loci are leads, not claims of new primary-text verification.</w:t>
            </w:r>
          </w:p>
        </w:tc>
      </w:tr>
      <w:tr>
        <w:tc>
          <w:tcPr>
            <w:tcW w:type="dxa" w:w="3312"/>
          </w:tcPr>
          <w:p>
            <w:pPr>
              <w:pStyle w:val="BodyText"/>
              <w:keepNext w:val="0"/>
              <w:spacing w:after="80" w:line="252" w:lineRule="auto"/>
              <w:jc w:val="left"/>
            </w:pPr>
            <w:hyperlink r:id="rId292">
              <w:r>
                <w:rPr>
                  <w:rStyle w:val="Hyperlink"/>
                </w:rPr>
                <w:t xml:space="preserve">Przywara, Analogia Entis; Palamas, Triads</w:t>
              </w:r>
            </w:hyperlink>
          </w:p>
        </w:tc>
        <w:tc>
          <w:tcPr>
            <w:tcW w:type="dxa" w:w="3312"/>
          </w:tcPr>
          <w:p>
            <w:pPr>
              <w:pStyle w:val="BodyText"/>
              <w:keepNext w:val="0"/>
              <w:spacing w:after="80" w:line="252" w:lineRule="auto"/>
              <w:jc w:val="left"/>
            </w:pPr>
            <w:r>
              <w:rPr>
                <w:rFonts w:ascii="Calibri" w:hAnsi="Calibri"/>
                <w:sz w:val="17"/>
              </w:rPr>
              <w:t xml:space="preserve">pending</w:t>
            </w:r>
          </w:p>
        </w:tc>
        <w:tc>
          <w:tcPr>
            <w:tcW w:type="dxa" w:w="3312"/>
          </w:tcPr>
          <w:p>
            <w:pPr>
              <w:pStyle w:val="BodyText"/>
              <w:keepNext w:val="0"/>
              <w:spacing w:after="80" w:line="252" w:lineRule="auto"/>
              <w:jc w:val="left"/>
            </w:pPr>
            <w:r>
              <w:rPr>
                <w:rFonts w:ascii="Calibri" w:hAnsi="Calibri"/>
                <w:sz w:val="17"/>
              </w:rPr>
              <w:t xml:space="preserve">John R. Betz / David Bentley Hart (2014); Nicholas Gendle (1983). Structural safeguards and bibliography supplied. Full primary works not consulted; no claim that their disputed models are identical.</w:t>
            </w:r>
          </w:p>
        </w:tc>
      </w:tr>
      <w:tr>
        <w:tc>
          <w:tcPr>
            <w:tcW w:type="dxa" w:w="3312"/>
          </w:tcPr>
          <w:p>
            <w:pPr>
              <w:pStyle w:val="BodyText"/>
              <w:keepNext w:val="0"/>
              <w:spacing w:after="80" w:line="252" w:lineRule="auto"/>
              <w:jc w:val="left"/>
            </w:pPr>
            <w:hyperlink r:id="rId223">
              <w:r>
                <w:rPr>
                  <w:rStyle w:val="Hyperlink"/>
                </w:rPr>
                <w:t xml:space="preserve">Specialist scholarship across the field</w:t>
              </w:r>
            </w:hyperlink>
          </w:p>
        </w:tc>
        <w:tc>
          <w:tcPr>
            <w:tcW w:type="dxa" w:w="3312"/>
          </w:tcPr>
          <w:p>
            <w:pPr>
              <w:pStyle w:val="BodyText"/>
              <w:keepNext w:val="0"/>
              <w:spacing w:after="80" w:line="252" w:lineRule="auto"/>
              <w:jc w:val="left"/>
            </w:pPr>
            <w:r>
              <w:rPr>
                <w:rFonts w:ascii="Calibri" w:hAnsi="Calibri"/>
                <w:sz w:val="17"/>
              </w:rPr>
              <w:t xml:space="preserve">pending</w:t>
            </w:r>
          </w:p>
        </w:tc>
        <w:tc>
          <w:tcPr>
            <w:tcW w:type="dxa" w:w="3312"/>
          </w:tcPr>
          <w:p>
            <w:pPr>
              <w:pStyle w:val="BodyText"/>
              <w:keepNext w:val="0"/>
              <w:spacing w:after="80" w:line="252" w:lineRule="auto"/>
              <w:jc w:val="left"/>
            </w:pPr>
            <w:r>
              <w:rPr>
                <w:rFonts w:ascii="Calibri" w:hAnsi="Calibri"/>
                <w:sz w:val="17"/>
              </w:rPr>
              <w:t xml:space="preserve">Dossiers distinguish consulted archive prose from bibliographic leads: Balás, Rorem, Perl, Blowers, Moran, McGinn, Noone/Houser, Porro/Pickavé, Wippel, Cross and Betz. A research map rather than a completed critical-edition survey. No bibliography entry is silently treated as a book read.</w:t>
            </w:r>
          </w:p>
        </w:tc>
      </w:tr>
    </w:tbl>
    <w:p>
      <w:pPr>
        <w:pStyle w:val="BodyText"/>
      </w:pPr>
      <w:r>
        <w:t xml:space="preserve">Read the detailed</w:t>
      </w:r>
      <w:r>
        <w:t xml:space="preserve"> </w:t>
      </w:r>
      <w:hyperlink r:id="rId236">
        <w:r>
          <w:rPr>
            <w:rStyle w:val="Hyperlink"/>
          </w:rPr>
          <w:t xml:space="preserve">formal architecture</w:t>
        </w:r>
      </w:hyperlink>
      <w:r>
        <w:t xml:space="preserve">,</w:t>
      </w:r>
      <w:r>
        <w:t xml:space="preserve"> </w:t>
      </w:r>
      <w:hyperlink r:id="rId223">
        <w:r>
          <w:rPr>
            <w:rStyle w:val="Hyperlink"/>
          </w:rPr>
          <w:t xml:space="preserve">ancient/patristic</w:t>
        </w:r>
      </w:hyperlink>
      <w:r>
        <w:t xml:space="preserve">,</w:t>
      </w:r>
      <w:r>
        <w:t xml:space="preserve"> </w:t>
      </w:r>
      <w:hyperlink r:id="rId224">
        <w:r>
          <w:rPr>
            <w:rStyle w:val="Hyperlink"/>
          </w:rPr>
          <w:t xml:space="preserve">Eastern/theophanic</w:t>
        </w:r>
      </w:hyperlink>
      <w:r>
        <w:t xml:space="preserve">,</w:t>
      </w:r>
      <w:r>
        <w:t xml:space="preserve"> </w:t>
      </w:r>
      <w:hyperlink r:id="rId225">
        <w:r>
          <w:rPr>
            <w:rStyle w:val="Hyperlink"/>
          </w:rPr>
          <w:t xml:space="preserve">Latin exemplarism</w:t>
        </w:r>
      </w:hyperlink>
      <w:r>
        <w:t xml:space="preserve">, and</w:t>
      </w:r>
      <w:r>
        <w:t xml:space="preserve"> </w:t>
      </w:r>
      <w:hyperlink r:id="rId226">
        <w:r>
          <w:rPr>
            <w:rStyle w:val="Hyperlink"/>
          </w:rPr>
          <w:t xml:space="preserve">Aquinas/Scotus/Newman</w:t>
        </w:r>
      </w:hyperlink>
      <w:r>
        <w:t xml:space="preserve"> </w:t>
      </w:r>
      <w:r>
        <w:t xml:space="preserve">dossiers for source distinctions and specialist bibliographies. Bibliographic leads are not presented as works newly read. Critical-edition collation, current specialist debate, pure-perfection semantics, inherence, and the modal truthmaker of divine willing remain open work.</w:t>
      </w:r>
    </w:p>
    <w:bookmarkEnd w:id="329"/>
    <w:bookmarkStart w:id="336" w:name="questions-and-answers"/>
    <w:p>
      <w:pPr>
        <w:pStyle w:val="Heading3"/>
      </w:pPr>
      <w:r>
        <w:t xml:space="preserve">Questions and answers</w:t>
      </w:r>
    </w:p>
    <w:p>
      <w:pPr>
        <w:pStyle w:val="FirstParagraph"/>
      </w:pPr>
      <w:r>
        <w:t xml:space="preserve">From God, like God, and genuinely other: direct answers to the participation questions.</w:t>
      </w:r>
    </w:p>
    <w:bookmarkStart w:id="331" w:name="Xb24c90beec6ff5a1d6c742bde6aeb41090f93f4"/>
    <w:p>
      <w:pPr>
        <w:pStyle w:val="Heading4"/>
      </w:pPr>
      <w:r>
        <w:t xml:space="preserve">1. How can a creature be genuinely from God without being a piece of God?</w:t>
      </w:r>
    </w:p>
    <w:p>
      <w:pPr>
        <w:pStyle w:val="FirstParagraph"/>
      </w:pPr>
      <w:r>
        <w:t xml:space="preserve">A creature possesses an actuality that God causes and sustains. That actuality is genuinely the creature’s: the received life is its life, and a received capacity can be its capacity to exercise. Participation names this real, dependent possession. Dependence answers where the actuality comes from; possession answers whose actuality it is. Neither answer cancels the other. A source can therefore sustain another reality without turning it into a portion of its own substance.</w:t>
      </w:r>
    </w:p>
    <w:p>
      <w:pPr>
        <w:pStyle w:val="BodyText"/>
      </w:pPr>
      <w:r>
        <w:t xml:space="preserve">Nonpartition requires an argument in addition to that definition. If proper constituents make their whole depend upon them, absolute underivation excludes creatures as constituents of God. A separate capacity principle excludes unlimited divine actuality as a constituent of a bounded creature. On these premises, sustaining presence means present causality rather than spatial proximity. The creature’s own exercise then requires another bridge: its received power must genuinely contribute to what occurs. Participation supplies the basis for secondary agency; it does not establish agency by naming it.</w:t>
      </w:r>
    </w:p>
    <w:bookmarkStart w:id="330" w:name="X2ca53665a0594db9eb68432fe0cc1b592dad5d1"/>
    <w:p>
      <w:pPr>
        <w:pStyle w:val="Heading5"/>
      </w:pPr>
      <w:r>
        <w:t xml:space="preserve">The premises behind this answer: Causation and constitution</w:t>
      </w:r>
    </w:p>
    <w:p>
      <w:pPr>
        <w:pStyle w:val="FirstParagraph"/>
      </w:pPr>
      <w:r>
        <w:t xml:space="preserve">Uses the source assumptions and constitution bridges already stated in Part I.</w:t>
      </w:r>
    </w:p>
    <w:p>
      <w:pPr>
        <w:pStyle w:val="BodyText"/>
      </w:pPr>
      <w:r>
        <w:t xml:space="preserve">Adopt these premises:</w:t>
      </w:r>
    </w:p>
    <w:p>
      <w:pPr>
        <w:pStyle w:val="Compact"/>
        <w:numPr>
          <w:ilvl w:val="0"/>
          <w:numId w:val="1006"/>
        </w:numPr>
      </w:pPr>
      <w:r>
        <w:t xml:space="preserve">God presently sustains created actuality, depends on nothing for his actuality, and is unlimited in the respect in which creatures are bounded.</w:t>
      </w:r>
    </w:p>
    <w:p>
      <w:pPr>
        <w:pStyle w:val="Compact"/>
        <w:numPr>
          <w:ilvl w:val="0"/>
          <w:numId w:val="1006"/>
        </w:numPr>
      </w:pPr>
      <w:r>
        <w:t xml:space="preserve">Sustaining causation grounds the effect’s actuality in its cause; proper intrinsic constituents ground the actuality of the whole they constitute.</w:t>
      </w:r>
    </w:p>
    <w:p>
      <w:pPr>
        <w:pStyle w:val="Compact"/>
        <w:numPr>
          <w:ilvl w:val="0"/>
          <w:numId w:val="1006"/>
        </w:numPr>
      </w:pPr>
      <w:r>
        <w:t xml:space="preserve">An intrinsic constituent cannot exceed its whole in the relevant capacity for actuality.</w:t>
      </w:r>
    </w:p>
    <w:p>
      <w:pPr>
        <w:pStyle w:val="FirstParagraph"/>
      </w:pPr>
      <w:r>
        <w:t xml:space="preserve">Why adopt them?</w:t>
      </w:r>
    </w:p>
    <w:p>
      <w:pPr>
        <w:pStyle w:val="BodyText"/>
      </w:pPr>
      <w:r>
        <w:t xml:space="preserve">Producing or sustaining something explains its actuality without making the producer its material. Constitution has a different explanatory direction: the whole possesses its actuality through its constituents. Confusing these directions would turn every cause into a component. The third premise adds a substantive constraint on what a bounded whole can intrinsically contain; it is not a consequence of mere part-whole vocabulary.</w:t>
      </w:r>
    </w:p>
    <w:p>
      <w:pPr>
        <w:pStyle w:val="BodyText"/>
      </w:pPr>
      <w:r>
        <w:t xml:space="preserve">What follows if they hold?</w:t>
      </w:r>
    </w:p>
    <w:p>
      <w:pPr>
        <w:pStyle w:val="BodyText"/>
      </w:pPr>
      <w:r>
        <w:t xml:space="preserve">Created actuality can be continuously from God while remaining distinct. Constitutive dependence excludes a creature as a part of the underived God; the capacity constraint excludes unlimited God as a constituent of a bounded creature.</w:t>
      </w:r>
    </w:p>
    <w:p>
      <w:pPr>
        <w:pStyle w:val="BodyText"/>
      </w:pPr>
      <w:r>
        <w:t xml:space="preserve">What remains to defend: These are conditional consequences of the source profile and two constitution principles, not a demonstration that every cause communicates without division.</w:t>
      </w:r>
    </w:p>
    <w:p>
      <w:pPr>
        <w:pStyle w:val="BodyText"/>
      </w:pPr>
      <w:hyperlink r:id="rId101">
        <w:r>
          <w:rPr>
            <w:rStyle w:val="Hyperlink"/>
          </w:rPr>
          <w:t xml:space="preserve">Participation as real possession</w:t>
        </w:r>
      </w:hyperlink>
      <w:r>
        <w:t xml:space="preserve"> </w:t>
      </w:r>
      <w:r>
        <w:t xml:space="preserve">·</w:t>
      </w:r>
      <w:r>
        <w:t xml:space="preserve"> </w:t>
      </w:r>
      <w:hyperlink r:id="rId244">
        <w:r>
          <w:rPr>
            <w:rStyle w:val="Hyperlink"/>
          </w:rPr>
          <w:t xml:space="preserve">The basis and constitution bridges</w:t>
        </w:r>
      </w:hyperlink>
      <w:r>
        <w:t xml:space="preserve"> </w:t>
      </w:r>
      <w:r>
        <w:t xml:space="preserve">·</w:t>
      </w:r>
      <w:r>
        <w:t xml:space="preserve"> </w:t>
      </w:r>
      <w:hyperlink r:id="rId245">
        <w:r>
          <w:rPr>
            <w:rStyle w:val="Hyperlink"/>
          </w:rPr>
          <w:t xml:space="preserve">Participation without partition</w:t>
        </w:r>
      </w:hyperlink>
    </w:p>
    <w:bookmarkEnd w:id="330"/>
    <w:bookmarkEnd w:id="331"/>
    <w:bookmarkStart w:id="333" w:name="Xcac339b6af8fb0bb0bf0596155e07b3f03cfecf"/>
    <w:p>
      <w:pPr>
        <w:pStyle w:val="Heading4"/>
      </w:pPr>
      <w:r>
        <w:t xml:space="preserve">2. If creatures are from God, in what sense can they genuinely be like God?</w:t>
      </w:r>
    </w:p>
    <w:p>
      <w:pPr>
        <w:pStyle w:val="FirstParagraph"/>
      </w:pPr>
      <w:r>
        <w:t xml:space="preserve">They can possess a real perfection whose positive content corresponds to perfection in their source, although its mode of possession differs. But being caused does not, by itself, establish that correspondence. Causation explains where a perfection comes from; likeness requires an additional principle of causal adequacy. The proposal applies that principle to the ultimate source, rather than requiring every instrument to possess the qualities of its effects.</w:t>
      </w:r>
    </w:p>
    <w:p>
      <w:pPr>
        <w:pStyle w:val="BodyText"/>
      </w:pPr>
      <w:r>
        <w:t xml:space="preserve">The positive content must be identified independently of effecthood. Exemplarism supplies one account of the bridge: an effect’s intelligible formation corresponds to the source’s understanding, so the likeness is grounded in what the effect is. The complete finite form need not be copied into God. A melody requires succession; its divine ground need not be a succession of divine notes. This reconstruction makes detached Forms unnecessary to the explanation without proving every alternative ontology false. Objective expression can obtain before an observer recognizes it; recognition and warranted knowledge remain further achievements.</w:t>
      </w:r>
    </w:p>
    <w:bookmarkStart w:id="332" w:name="Xc2c3f14e4f9c391e51a6d2991af581cdadb0919"/>
    <w:p>
      <w:pPr>
        <w:pStyle w:val="Heading5"/>
      </w:pPr>
      <w:r>
        <w:t xml:space="preserve">The premises behind this answer: Corresponding perfection in an ultimate cause</w:t>
      </w:r>
    </w:p>
    <w:p>
      <w:pPr>
        <w:pStyle w:val="FirstParagraph"/>
      </w:pPr>
      <w:r>
        <w:t xml:space="preserve">Adds causal adequacy to causation and dependence; the source interpretation of each positive perfection must also be defended.</w:t>
      </w:r>
    </w:p>
    <w:p>
      <w:pPr>
        <w:pStyle w:val="BodyText"/>
      </w:pPr>
      <w:r>
        <w:t xml:space="preserve">Adopt these premises:</w:t>
      </w:r>
    </w:p>
    <w:p>
      <w:pPr>
        <w:pStyle w:val="Compact"/>
        <w:numPr>
          <w:ilvl w:val="0"/>
          <w:numId w:val="1007"/>
        </w:numPr>
      </w:pPr>
      <w:r>
        <w:t xml:space="preserve">Identify the positive content independently of its being caused, and distinguish it from a complete finite-kind description: achieved understanding, for example, differs from the receptive history of learning.</w:t>
      </w:r>
    </w:p>
    <w:p>
      <w:pPr>
        <w:pStyle w:val="Compact"/>
        <w:numPr>
          <w:ilvl w:val="0"/>
          <w:numId w:val="1007"/>
        </w:numPr>
      </w:pPr>
      <w:r>
        <w:t xml:space="preserve">Where the ultimate source fully grounds that positive actuality, the source possesses corresponding perfection actually, under a source-appropriate mode, rather than merely having the ability to produce it.</w:t>
      </w:r>
    </w:p>
    <w:p>
      <w:pPr>
        <w:pStyle w:val="FirstParagraph"/>
      </w:pPr>
      <w:r>
        <w:t xml:space="preserve">Why adopt them?</w:t>
      </w:r>
    </w:p>
    <w:p>
      <w:pPr>
        <w:pStyle w:val="BodyText"/>
      </w:pPr>
      <w:r>
        <w:t xml:space="preserve">The proposal asks the ultimate explanation to account for what is positively realized, not only the fact that an event occurs. An instrument can transmit a perfection it does not possess in the relevant mode because other actualities explain its operation. An ultimate source cannot defer the whole explanatory burden indefinitely to such instruments. Correspondence permits difference of mode: causing understanding does not require a biological brain or discursive learning in God.</w:t>
      </w:r>
    </w:p>
    <w:p>
      <w:pPr>
        <w:pStyle w:val="BodyText"/>
      </w:pPr>
      <w:r>
        <w:t xml:space="preserve">Source-related intelligible formation provides a positive account of the correspondence. On an exemplar account, the source understands the form it gives actuality to; the creature realizes that intelligible form under its own conditions. A causal relation alone does not supply this additional explanatory relation.</w:t>
      </w:r>
    </w:p>
    <w:p>
      <w:pPr>
        <w:pStyle w:val="BodyText"/>
      </w:pPr>
      <w:r>
        <w:t xml:space="preserve">What follows if they hold?</w:t>
      </w:r>
    </w:p>
    <w:p>
      <w:pPr>
        <w:pStyle w:val="BodyText"/>
      </w:pPr>
      <w:r>
        <w:t xml:space="preserve">A creature can bear an actual, received likeness. Its perfection has an intelligible source without requiring a detached Form between source and creature.</w:t>
      </w:r>
    </w:p>
    <w:p>
      <w:pPr>
        <w:pStyle w:val="BodyText"/>
      </w:pPr>
      <w:r>
        <w:t xml:space="preserve">What remains to defend: This is a substantive causal-adequacy commitment, not a theorem of causation alone. Each positive content and its source interpretation still needs defense.</w:t>
      </w:r>
    </w:p>
    <w:p>
      <w:pPr>
        <w:pStyle w:val="BodyText"/>
      </w:pPr>
      <w:hyperlink r:id="rId244">
        <w:r>
          <w:rPr>
            <w:rStyle w:val="Hyperlink"/>
          </w:rPr>
          <w:t xml:space="preserve">Causal adequacy and realized perfection</w:t>
        </w:r>
      </w:hyperlink>
      <w:r>
        <w:t xml:space="preserve"> </w:t>
      </w:r>
      <w:r>
        <w:t xml:space="preserve">·</w:t>
      </w:r>
      <w:r>
        <w:t xml:space="preserve"> </w:t>
      </w:r>
      <w:hyperlink r:id="rId252">
        <w:r>
          <w:rPr>
            <w:rStyle w:val="Hyperlink"/>
          </w:rPr>
          <w:t xml:space="preserve">Historical resources for likeness</w:t>
        </w:r>
      </w:hyperlink>
    </w:p>
    <w:bookmarkEnd w:id="332"/>
    <w:bookmarkEnd w:id="333"/>
    <w:bookmarkStart w:id="335" w:name="Xffcc54e0be6999e4f1e0c8f04b4fcf389d826b8"/>
    <w:p>
      <w:pPr>
        <w:pStyle w:val="Heading4"/>
      </w:pPr>
      <w:r>
        <w:t xml:space="preserve">3. How can a creature genuinely resemble God without sharing God’s mode of being or a common genus?</w:t>
      </w:r>
    </w:p>
    <w:p>
      <w:pPr>
        <w:pStyle w:val="FirstParagraph"/>
      </w:pPr>
      <w:r>
        <w:t xml:space="preserve">A perfection can correspond without being possessed in the same way. A creature receives actuality according to its capacity; the adopted divine source receives none of the actuality by which it exists. The finite measure characterizes reception, rather than becoming a limit on the source. Likewise, a finite judgment can be completely true in its stated respect without comprehending God: knowing that God exists does not mean possessing everything God is. Non-exhaustion is compatible with truthful access.</w:t>
      </w:r>
    </w:p>
    <w:p>
      <w:pPr>
        <w:pStyle w:val="BodyText"/>
      </w:pPr>
      <w:r>
        <w:t xml:space="preserve">Still, different modes alone do not prove that no common genus exists. The stricter conclusion needs a further account: membership in a natural genus would introduce distinct intrinsic constituting principles, and an absolutely underived source cannot depend on such principles. That account of genus requires independent defense. It concerns natural classification, rather than every shared predicate or intelligible concept. Scotus’s univocal concept of being cannot simply be dismissed as a common natural genus.</w:t>
      </w:r>
    </w:p>
    <w:bookmarkStart w:id="334" w:name="X2a7738daaaeb86a4b0d6ffd6ed1e8227fc5326c"/>
    <w:p>
      <w:pPr>
        <w:pStyle w:val="Heading5"/>
      </w:pPr>
      <w:r>
        <w:t xml:space="preserve">The premises behind this answer: Natural genus and intrinsic constitution</w:t>
      </w:r>
    </w:p>
    <w:p>
      <w:pPr>
        <w:pStyle w:val="FirstParagraph"/>
      </w:pPr>
      <w:r>
        <w:t xml:space="preserve">Adds the natural-genus principle N to the inherited underivation and constitution arguments.</w:t>
      </w:r>
    </w:p>
    <w:p>
      <w:pPr>
        <w:pStyle w:val="BodyText"/>
      </w:pPr>
      <w:r>
        <w:t xml:space="preserve">Adopt these premises:</w:t>
      </w:r>
    </w:p>
    <w:p>
      <w:pPr>
        <w:pStyle w:val="Compact"/>
        <w:numPr>
          <w:ilvl w:val="0"/>
          <w:numId w:val="1008"/>
        </w:numPr>
      </w:pPr>
      <w:r>
        <w:t xml:space="preserve">Corresponding perfection can be received and bounded in the creature while unreceived and unlimited in God.</w:t>
      </w:r>
    </w:p>
    <w:p>
      <w:pPr>
        <w:pStyle w:val="Compact"/>
        <w:numPr>
          <w:ilvl w:val="0"/>
          <w:numId w:val="1008"/>
        </w:numPr>
      </w:pPr>
      <w:r>
        <w:t xml:space="preserve">If natural genus-membership consists in an intrinsic common kind completed by a distinct intrinsic specific principle, both principles contribute to the member’s constitution.</w:t>
      </w:r>
    </w:p>
    <w:p>
      <w:pPr>
        <w:pStyle w:val="Compact"/>
        <w:numPr>
          <w:ilvl w:val="0"/>
          <w:numId w:val="1008"/>
        </w:numPr>
      </w:pPr>
      <w:r>
        <w:t xml:space="preserve">Proper intrinsic constituting principles ground a whole’s actuality; God is absolutely underived.</w:t>
      </w:r>
    </w:p>
    <w:p>
      <w:pPr>
        <w:pStyle w:val="FirstParagraph"/>
      </w:pPr>
      <w:r>
        <w:t xml:space="preserve">Why adopt them?</w:t>
      </w:r>
    </w:p>
    <w:p>
      <w:pPr>
        <w:pStyle w:val="BodyText"/>
      </w:pPr>
      <w:r>
        <w:t xml:space="preserve">A natural genus, on this account, identifies what a thing intrinsically is; its specific determination explains why it is this kind of member. Those contributions are stronger than two descriptions or a shared logical predicate. Treating them as real constituting principles therefore subjects them to the dependence argument. Mere likeness instead compares positive content without supplying a constituent through which God becomes actual.</w:t>
      </w:r>
    </w:p>
    <w:p>
      <w:pPr>
        <w:pStyle w:val="BodyText"/>
      </w:pPr>
      <w:r>
        <w:t xml:space="preserve">What follows if they hold?</w:t>
      </w:r>
    </w:p>
    <w:p>
      <w:pPr>
        <w:pStyle w:val="BodyText"/>
      </w:pPr>
      <w:r>
        <w:t xml:space="preserve">Likeness remains possible, while God cannot belong to a natural genus constituted in this way. The creature’s finite reception measures its own mode rather than setting God’s measure.</w:t>
      </w:r>
    </w:p>
    <w:p>
      <w:pPr>
        <w:pStyle w:val="BodyText"/>
      </w:pPr>
      <w:r>
        <w:t xml:space="preserve">What remains to defend: The genus analysis is an additional Aristotelian-style commitment. It neither excludes every shared concept nor refutes Scotus’s univocal concept of being.</w:t>
      </w:r>
    </w:p>
    <w:p>
      <w:pPr>
        <w:pStyle w:val="BodyText"/>
      </w:pPr>
      <w:hyperlink r:id="rId245">
        <w:r>
          <w:rPr>
            <w:rStyle w:val="Hyperlink"/>
          </w:rPr>
          <w:t xml:space="preserve">The additional genus principle</w:t>
        </w:r>
      </w:hyperlink>
      <w:r>
        <w:t xml:space="preserve"> </w:t>
      </w:r>
      <w:r>
        <w:t xml:space="preserve">·</w:t>
      </w:r>
      <w:r>
        <w:t xml:space="preserve"> </w:t>
      </w:r>
      <w:hyperlink r:id="rId259">
        <w:r>
          <w:rPr>
            <w:rStyle w:val="Hyperlink"/>
          </w:rPr>
          <w:t xml:space="preserve">Test the premises</w:t>
        </w:r>
      </w:hyperlink>
    </w:p>
    <w:bookmarkEnd w:id="334"/>
    <w:bookmarkEnd w:id="335"/>
    <w:bookmarkEnd w:id="336"/>
    <w:bookmarkEnd w:id="337"/>
    <w:p>
      <w:pPr>
        <w:pStyle w:val="Heading1"/>
      </w:pPr>
      <w:r>
        <w:t xml:space="preserve">Appendix B — formal-architecture.md</w:t>
      </w:r>
    </w:p>
    <w:p>
      <w:pPr>
        <w:pStyle w:val="FirstParagraph"/>
      </w:pPr>
      <w:r>
        <w:t xml:space="preserve">Original research file: https:/​/​participation-​6o4.​pages.​dev/​research/​formal-​architecture.​md</w:t>
      </w:r>
    </w:p>
    <w:bookmarkStart w:id="345" w:name="Xa279cf90ea70f8e2e94a7815c37625ce92f6566"/>
    <w:p>
      <w:pPr>
        <w:pStyle w:val="Heading2"/>
      </w:pPr>
      <w:r>
        <w:t xml:space="preserve">Minimal Generative Grammar of Participation: formal architecture</w:t>
      </w:r>
    </w:p>
    <w:p>
      <w:pPr>
        <w:pStyle w:val="FirstParagraph"/>
      </w:pPr>
      <w:r>
        <w:rPr>
          <w:b/>
          <w:bCs/>
        </w:rPr>
        <w:t xml:space="preserve">Status:</w:t>
      </w:r>
      <w:r>
        <w:t xml:space="preserve"> </w:t>
      </w:r>
      <w:r>
        <w:t xml:space="preserve">a new constructive reconstruction, not a proposition attributed to a historical author. Its proofs are short semantic consequences of stated assumptions; the independence witnesses are schematic mathematical models, not demonstrations that the corresponding metaphysical positions are true.</w:t>
      </w:r>
    </w:p>
    <w:bookmarkStart w:id="338" w:name="the-result-and-its-limit"/>
    <w:p>
      <w:pPr>
        <w:pStyle w:val="Heading3"/>
      </w:pPr>
      <w:r>
        <w:t xml:space="preserve">The result and its limit</w:t>
      </w:r>
    </w:p>
    <w:p>
      <w:pPr>
        <w:pStyle w:val="FirstParagraph"/>
      </w:pPr>
      <w:r>
        <w:t xml:space="preserve">The proposed three-part basis—actuality, received dependence, measure—does not suffice. An asymmetric dependency graph contains neither qualitative resemblance nor information about intrinsic constitution. A scalar measure cannot manufacture either. Underivation does not by itself entail infinity, and infinity does not entail freedom. Adding these conclusions to the meaning of</w:t>
      </w:r>
      <w:r>
        <w:t xml:space="preserve"> </w:t>
      </w:r>
      <w:r>
        <w:t xml:space="preserve">“</w:t>
      </w:r>
      <w:r>
        <w:t xml:space="preserve">source</w:t>
      </w:r>
      <w:r>
        <w:t xml:space="preserve">”</w:t>
      </w:r>
      <w:r>
        <w:t xml:space="preserve"> </w:t>
      </w:r>
      <w:r>
        <w:t xml:space="preserve">would conceal the problem.</w:t>
      </w:r>
    </w:p>
    <w:p>
      <w:pPr>
        <w:pStyle w:val="BodyText"/>
      </w:pPr>
      <w:r>
        <w:t xml:space="preserve">There is also no language-independent smallest number of primitives or axioms. A conjunction can package nine commitments as one; a suitably indexed relation can encode several predicates. The defensible result is</w:t>
      </w:r>
      <w:r>
        <w:t xml:space="preserve"> </w:t>
      </w:r>
      <w:r>
        <w:rPr>
          <w:b/>
          <w:bCs/>
        </w:rPr>
        <w:t xml:space="preserve">a source-specific basis in which each assumption contributes something the others do not supply, within an explicitly fixed language</w:t>
      </w:r>
      <w:r>
        <w:t xml:space="preserve">, with clearly identified extensions. It does not establish an absolute lower bound over every possible metaphysical language. Generic participation requires fewer assumptions about its source than the fuller Christian account does.</w:t>
      </w:r>
    </w:p>
    <w:bookmarkEnd w:id="338"/>
    <w:bookmarkStart w:id="339" w:name="language-categories-and-definitions"/>
    <w:p>
      <w:pPr>
        <w:pStyle w:val="Heading3"/>
      </w:pPr>
      <w:r>
        <w:t xml:space="preserve">Language, categories, and definitions</w:t>
      </w:r>
    </w:p>
    <w:p>
      <w:pPr>
        <w:pStyle w:val="FirstParagraph"/>
      </w:pPr>
      <w:r>
        <w:t xml:space="preserve">Use entities or actual intrinsic principles</w:t>
      </w:r>
      <w:r>
        <w:t xml:space="preserve"> </w:t>
      </w:r>
      <w:r>
        <w:rPr>
          <w:rStyle w:val="VerbatimChar"/>
        </w:rPr>
        <w:t xml:space="preserve">x,y</w:t>
      </w:r>
      <w:r>
        <w:t xml:space="preserve">; descriptive positive-perfection indices</w:t>
      </w:r>
      <w:r>
        <w:t xml:space="preserve"> </w:t>
      </w:r>
      <w:r>
        <w:rPr>
          <w:rStyle w:val="VerbatimChar"/>
        </w:rPr>
        <w:t xml:space="preserve">q</w:t>
      </w:r>
      <w:r>
        <w:t xml:space="preserve">; modes</w:t>
      </w:r>
      <w:r>
        <w:t xml:space="preserve"> </w:t>
      </w:r>
      <w:r>
        <w:rPr>
          <w:rStyle w:val="VerbatimChar"/>
        </w:rPr>
        <w:t xml:space="preserve">m</w:t>
      </w:r>
      <w:r>
        <w:t xml:space="preserve">; and possible situations</w:t>
      </w:r>
      <w:r>
        <w:t xml:space="preserve"> </w:t>
      </w:r>
      <w:r>
        <w:rPr>
          <w:rStyle w:val="VerbatimChar"/>
        </w:rPr>
        <w:t xml:space="preserve">w</w:t>
      </w:r>
      <w:r>
        <w:t xml:space="preserve">. Let</w:t>
      </w:r>
      <w:r>
        <w:t xml:space="preserve"> </w:t>
      </w:r>
      <w:r>
        <w:rPr>
          <w:rStyle w:val="VerbatimChar"/>
        </w:rPr>
        <w:t xml:space="preserve">e</w:t>
      </w:r>
      <w:r>
        <w:t xml:space="preserve"> </w:t>
      </w:r>
      <w:r>
        <w:t xml:space="preserve">index present existential actuality and let</w:t>
      </w:r>
      <w:r>
        <w:t xml:space="preserve"> </w:t>
      </w:r>
      <w:r>
        <w:rPr>
          <w:rStyle w:val="VerbatimChar"/>
        </w:rPr>
        <w:t xml:space="preserve">s</w:t>
      </w:r>
      <w:r>
        <w:t xml:space="preserve"> </w:t>
      </w:r>
      <w:r>
        <w:t xml:space="preserve">designate the proposed divine source. The five operational predicate families are:</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Primitive</w:t>
            </w:r>
          </w:p>
        </w:tc>
        <w:tc>
          <w:tcPr>
            <w:tcW w:type="dxa" w:w="7452"/>
            <w:shd w:fill="EAE5DA"/>
          </w:tcPr>
          <w:p>
            <w:pPr>
              <w:pStyle w:val="BodyText"/>
              <w:keepNext w:val="0"/>
              <w:spacing w:after="80" w:line="252" w:lineRule="auto"/>
              <w:jc w:val="left"/>
            </w:pPr>
            <w:r>
              <w:rPr>
                <w:rFonts w:ascii="Calibri" w:hAnsi="Calibri"/>
                <w:b/>
                <w:sz w:val="17"/>
              </w:rPr>
              <w:t xml:space="preserve">Meaning</w:t>
            </w:r>
          </w:p>
        </w:tc>
      </w:tr>
      <w:tr>
        <w:tc>
          <w:tcPr>
            <w:tcW w:type="dxa" w:w="2484"/>
          </w:tcPr>
          <w:p>
            <w:pPr>
              <w:pStyle w:val="BodyText"/>
              <w:keepNext w:val="0"/>
              <w:spacing w:after="80" w:line="252" w:lineRule="auto"/>
              <w:jc w:val="left"/>
            </w:pPr>
            <w:r>
              <w:rPr>
                <w:rStyle w:val="VerbatimChar"/>
                <w:sz w:val="17"/>
              </w:rPr>
              <w:t xml:space="preserve">C_w(y,x,q)</w:t>
            </w:r>
          </w:p>
        </w:tc>
        <w:tc>
          <w:tcPr>
            <w:tcW w:type="dxa" w:w="7452"/>
          </w:tcPr>
          <w:p>
            <w:pPr>
              <w:pStyle w:val="BodyText"/>
              <w:keepNext w:val="0"/>
              <w:spacing w:after="80" w:line="252" w:lineRule="auto"/>
              <w:jc w:val="left"/>
            </w:pPr>
            <w:r>
              <w:rPr>
                <w:rFonts w:ascii="Calibri" w:hAnsi="Calibri"/>
                <w:sz w:val="17"/>
              </w:rPr>
              <w:t xml:space="preserve">y productively causes or sustains x’s q-actualization at w.</w:t>
            </w:r>
          </w:p>
        </w:tc>
      </w:tr>
      <w:tr>
        <w:tc>
          <w:tcPr>
            <w:tcW w:type="dxa" w:w="2484"/>
          </w:tcPr>
          <w:p>
            <w:pPr>
              <w:pStyle w:val="BodyText"/>
              <w:keepNext w:val="0"/>
              <w:spacing w:after="80" w:line="252" w:lineRule="auto"/>
              <w:jc w:val="left"/>
            </w:pPr>
            <w:r>
              <w:rPr>
                <w:rStyle w:val="VerbatimChar"/>
                <w:sz w:val="17"/>
              </w:rPr>
              <w:t xml:space="preserve">D_w(x,y,r)</w:t>
            </w:r>
          </w:p>
        </w:tc>
        <w:tc>
          <w:tcPr>
            <w:tcW w:type="dxa" w:w="7452"/>
          </w:tcPr>
          <w:p>
            <w:pPr>
              <w:pStyle w:val="BodyText"/>
              <w:keepNext w:val="0"/>
              <w:spacing w:after="80" w:line="252" w:lineRule="auto"/>
              <w:jc w:val="left"/>
            </w:pPr>
            <w:r>
              <w:rPr>
                <w:rFonts w:ascii="Calibri" w:hAnsi="Calibri"/>
                <w:sz w:val="17"/>
              </w:rPr>
              <w:t xml:space="preserve">x ontologically depends on y in respect r at w.</w:t>
            </w:r>
          </w:p>
        </w:tc>
      </w:tr>
      <w:tr>
        <w:tc>
          <w:tcPr>
            <w:tcW w:type="dxa" w:w="2484"/>
          </w:tcPr>
          <w:p>
            <w:pPr>
              <w:pStyle w:val="BodyText"/>
              <w:keepNext w:val="0"/>
              <w:spacing w:after="80" w:line="252" w:lineRule="auto"/>
              <w:jc w:val="left"/>
            </w:pPr>
            <w:r>
              <w:rPr>
                <w:rStyle w:val="VerbatimChar"/>
                <w:sz w:val="17"/>
              </w:rPr>
              <w:t xml:space="preserve">H_w(x,q,m)</w:t>
            </w:r>
          </w:p>
        </w:tc>
        <w:tc>
          <w:tcPr>
            <w:tcW w:type="dxa" w:w="7452"/>
          </w:tcPr>
          <w:p>
            <w:pPr>
              <w:pStyle w:val="BodyText"/>
              <w:keepNext w:val="0"/>
              <w:spacing w:after="80" w:line="252" w:lineRule="auto"/>
              <w:jc w:val="left"/>
            </w:pPr>
            <w:r>
              <w:rPr>
                <w:rFonts w:ascii="Calibri" w:hAnsi="Calibri"/>
                <w:sz w:val="17"/>
              </w:rPr>
              <w:t xml:space="preserve">x realizes positive content q in mode m at w.</w:t>
            </w:r>
          </w:p>
        </w:tc>
      </w:tr>
      <w:tr>
        <w:tc>
          <w:tcPr>
            <w:tcW w:type="dxa" w:w="2484"/>
          </w:tcPr>
          <w:p>
            <w:pPr>
              <w:pStyle w:val="BodyText"/>
              <w:keepNext w:val="0"/>
              <w:spacing w:after="80" w:line="252" w:lineRule="auto"/>
              <w:jc w:val="left"/>
            </w:pPr>
            <w:r>
              <w:rPr>
                <w:rStyle w:val="VerbatimChar"/>
                <w:sz w:val="17"/>
              </w:rPr>
              <w:t xml:space="preserve">K_w(x,y)</w:t>
            </w:r>
          </w:p>
        </w:tc>
        <w:tc>
          <w:tcPr>
            <w:tcW w:type="dxa" w:w="7452"/>
          </w:tcPr>
          <w:p>
            <w:pPr>
              <w:pStyle w:val="BodyText"/>
              <w:keepNext w:val="0"/>
              <w:spacing w:after="80" w:line="252" w:lineRule="auto"/>
              <w:jc w:val="left"/>
            </w:pPr>
            <w:r>
              <w:rPr>
                <w:rFonts w:ascii="Calibri" w:hAnsi="Calibri"/>
                <w:sz w:val="17"/>
              </w:rPr>
              <w:t xml:space="preserve">x is a proper intrinsic constituent or constituting principle of y.</w:t>
            </w:r>
          </w:p>
        </w:tc>
      </w:tr>
      <w:tr>
        <w:tc>
          <w:tcPr>
            <w:tcW w:type="dxa" w:w="2484"/>
          </w:tcPr>
          <w:p>
            <w:pPr>
              <w:pStyle w:val="BodyText"/>
              <w:keepNext w:val="0"/>
              <w:spacing w:after="80" w:line="252" w:lineRule="auto"/>
              <w:jc w:val="left"/>
            </w:pPr>
            <w:r>
              <w:rPr>
                <w:rStyle w:val="VerbatimChar"/>
                <w:sz w:val="17"/>
              </w:rPr>
              <w:t xml:space="preserve">J_w(x)</w:t>
            </w:r>
          </w:p>
        </w:tc>
        <w:tc>
          <w:tcPr>
            <w:tcW w:type="dxa" w:w="7452"/>
          </w:tcPr>
          <w:p>
            <w:pPr>
              <w:pStyle w:val="BodyText"/>
              <w:keepNext w:val="0"/>
              <w:spacing w:after="80" w:line="252" w:lineRule="auto"/>
              <w:jc w:val="left"/>
            </w:pPr>
            <w:r>
              <w:rPr>
                <w:rFonts w:ascii="Calibri" w:hAnsi="Calibri"/>
                <w:sz w:val="17"/>
              </w:rPr>
              <w:t xml:space="preserve">x’s intrinsic constitution and qualitative actuality, as distinct from merely relational description.</w:t>
            </w:r>
          </w:p>
        </w:tc>
      </w:tr>
    </w:tbl>
    <w:p>
      <w:pPr>
        <w:pStyle w:val="BodyText"/>
      </w:pPr>
      <w:r>
        <w:rPr>
          <w:rStyle w:val="VerbatimChar"/>
        </w:rPr>
        <w:t xml:space="preserve">C</w:t>
      </w:r>
      <w:r>
        <w:t xml:space="preserve"> </w:t>
      </w:r>
      <w:r>
        <w:t xml:space="preserve">is not silently identified with</w:t>
      </w:r>
      <w:r>
        <w:t xml:space="preserve"> </w:t>
      </w:r>
      <w:r>
        <w:rPr>
          <w:rStyle w:val="VerbatimChar"/>
        </w:rPr>
        <w:t xml:space="preserve">D</w:t>
      </w:r>
      <w:r>
        <w:t xml:space="preserve">. Constitutional dependence is not efficient production.</w:t>
      </w:r>
      <w:r>
        <w:t xml:space="preserve"> </w:t>
      </w:r>
      <w:r>
        <w:rPr>
          <w:rStyle w:val="VerbatimChar"/>
        </w:rPr>
        <w:t xml:space="preserve">K</w:t>
      </w:r>
      <w:r>
        <w:t xml:space="preserve"> </w:t>
      </w:r>
      <w:r>
        <w:t xml:space="preserve">is not likeness, and</w:t>
      </w:r>
      <w:r>
        <w:t xml:space="preserve"> </w:t>
      </w:r>
      <w:r>
        <w:rPr>
          <w:rStyle w:val="VerbatimChar"/>
        </w:rPr>
        <w:t xml:space="preserve">H</w:t>
      </w:r>
      <w:r>
        <w:t xml:space="preserve"> </w:t>
      </w:r>
      <w:r>
        <w:t xml:space="preserve">is not epistemic evidence. These are ontological assertions, not claims about our ability to recognize their truth. Actuality is represented semantically within H; use the derived abbreviation</w:t>
      </w:r>
      <w:r>
        <w:t xml:space="preserve"> </w:t>
      </w:r>
      <w:r>
        <w:rPr>
          <w:rStyle w:val="VerbatimChar"/>
        </w:rPr>
        <w:t xml:space="preserve">A_w(x) := ∃m H_w(x,e,m)</w:t>
      </w:r>
      <w:r>
        <w:t xml:space="preserve">. There is no independent A-predicate to count twice. J independently represents the full intrinsic profile because selected positive-perfection realizations in H are not assumed to exhaust every intrinsic fact. If H/K are enriched to exhaust that profile, J becomes a definable convenience and should be deleted.</w:t>
      </w:r>
    </w:p>
    <w:p>
      <w:pPr>
        <w:pStyle w:val="BodyText"/>
      </w:pPr>
      <w:r>
        <w:t xml:space="preserve">The language additionally needs identity, quantification, world indexing, and a mode ordering. Those are disclosed resources, not conclusions produced by the five predicates. Modes are functionally indexed to a bearer and perfection: there is at most one complete mode for a given</w:t>
      </w:r>
      <w:r>
        <w:t xml:space="preserve"> </w:t>
      </w:r>
      <w:r>
        <w:rPr>
          <w:rStyle w:val="VerbatimChar"/>
        </w:rPr>
        <w:t xml:space="preserve">(w,x,q)</w:t>
      </w:r>
      <w:r>
        <w:t xml:space="preserve">. Let</w:t>
      </w:r>
      <w:r>
        <w:t xml:space="preserve"> </w:t>
      </w:r>
      <w:r>
        <w:rPr>
          <w:rStyle w:val="VerbatimChar"/>
        </w:rPr>
        <w:t xml:space="preserve">∞</w:t>
      </w:r>
      <w:r>
        <w:t xml:space="preserve"> </w:t>
      </w:r>
      <w:r>
        <w:t xml:space="preserve">mark absence of a finite upper bound and let every bounded mode lie strictly below it. The ordering represents realization-capacity in the relevant respect,</w:t>
      </w:r>
      <w:r>
        <w:t xml:space="preserve"> </w:t>
      </w:r>
      <w:r>
        <w:rPr>
          <w:b/>
          <w:bCs/>
        </w:rPr>
        <w:t xml:space="preserve">not a quantity of divine substance</w:t>
      </w:r>
      <w:r>
        <w:t xml:space="preserve">. Natural numbers plus</w:t>
      </w:r>
      <w:r>
        <w:t xml:space="preserve"> </w:t>
      </w:r>
      <w:r>
        <w:rPr>
          <w:rStyle w:val="VerbatimChar"/>
        </w:rPr>
        <w:t xml:space="preserve">∞</w:t>
      </w:r>
      <w:r>
        <w:t xml:space="preserve"> </w:t>
      </w:r>
      <w:r>
        <w:t xml:space="preserve">provide a toy interpretation, not a physical measurement of God.</w:t>
      </w:r>
    </w:p>
    <w:p>
      <w:pPr>
        <w:pStyle w:val="BodyText"/>
      </w:pPr>
      <w:r>
        <w:t xml:space="preserve">Perfection indices are descriptive indices, not independently existing exemplars. This convention does not refute Platonism. If independent Forms are alleged to be real productive sources, they must be represented as actual entities and tested against universal sustaining causality. Purely mathematical or causally inert abstract objects are not decided here. A proposed independent admissibility test is that q’s specified positive content need not entail deficiency or a bounded constitutive mode: knowing rather than acquiring information discursively, goodness rather than a privation, actuality rather than being-created. This test must be argued case by case; it is not</w:t>
      </w:r>
      <w:r>
        <w:t xml:space="preserve"> </w:t>
      </w:r>
      <w:r>
        <w:t xml:space="preserve">“</w:t>
      </w:r>
      <w:r>
        <w:t xml:space="preserve">whatever can be attributed to God.</w:t>
      </w:r>
      <w:r>
        <w:t xml:space="preserve">”</w:t>
      </w:r>
      <w:r>
        <w:t xml:space="preserve"> </w:t>
      </w:r>
      <w:r>
        <w:t xml:space="preserve">Biological life and divine life cannot be equated by replacing them with the same symbol. The interpretation and sufficiency of this criterion remain substantive open work, not achievements of the notation.</w:t>
      </w:r>
    </w:p>
    <w:p>
      <w:pPr>
        <w:pStyle w:val="BodyText"/>
      </w:pPr>
      <w:r>
        <w:t xml:space="preserve">All productive and dependency relations are factive: their relata have existential realization. Every other positive realization entails existential realization. Proper constituency is irreflexive and transitive. These are substantive background assumptions, not logical truths. Claims of nine-clause irredundance are relative to them; nine is not a count of every assumption. FS posits an actual proposed source</w:t>
      </w:r>
      <w:r>
        <w:t xml:space="preserve"> </w:t>
      </w:r>
      <w:r>
        <w:rPr>
          <w:rStyle w:val="VerbatimChar"/>
        </w:rPr>
        <w:t xml:space="preserve">s</w:t>
      </w:r>
      <w:r>
        <w:t xml:space="preserve">; there is no separate demonstration that such a source exists or that creation occurs.</w:t>
      </w:r>
    </w:p>
    <w:p>
      <w:pPr>
        <w:pStyle w:val="BodyText"/>
      </w:pPr>
      <w:r>
        <w:t xml:space="preserve">Define, without importing the target conclusions:</w:t>
      </w:r>
    </w:p>
    <w:p>
      <w:pPr>
        <w:pStyle w:val="Compact"/>
        <w:numPr>
          <w:ilvl w:val="0"/>
          <w:numId w:val="1009"/>
        </w:numPr>
      </w:pPr>
      <w:r>
        <w:rPr>
          <w:rStyle w:val="VerbatimChar"/>
        </w:rPr>
        <w:t xml:space="preserve">Rec_w(x,q,m,y) := C_w(y,x,q) ∧ H_w(x,q,m)</w:t>
      </w:r>
      <w:r>
        <w:t xml:space="preserve">.</w:t>
      </w:r>
    </w:p>
    <w:p>
      <w:pPr>
        <w:pStyle w:val="Compact"/>
        <w:numPr>
          <w:ilvl w:val="0"/>
          <w:numId w:val="1009"/>
        </w:numPr>
      </w:pPr>
      <w:r>
        <w:rPr>
          <w:rStyle w:val="VerbatimChar"/>
        </w:rPr>
        <w:t xml:space="preserve">L_w(x,y,q) := ∃m,n[H_w(x,q,m) ∧ H_w(y,q,n)]</w:t>
      </w:r>
      <w:r>
        <w:t xml:space="preserve">. This is shared positive content, not identity of mode, species, or essence.</w:t>
      </w:r>
    </w:p>
    <w:p>
      <w:pPr>
        <w:pStyle w:val="Compact"/>
        <w:numPr>
          <w:ilvl w:val="0"/>
          <w:numId w:val="1009"/>
        </w:numPr>
      </w:pPr>
      <w:r>
        <w:rPr>
          <w:rStyle w:val="VerbatimChar"/>
        </w:rPr>
        <w:t xml:space="preserve">P_w(x,y,q) := ∃m[Rec_w(x,q,m,y)] ∧ D_w(x,y,q)</w:t>
      </w:r>
      <w:r>
        <w:t xml:space="preserve">.</w:t>
      </w:r>
    </w:p>
    <w:p>
      <w:pPr>
        <w:pStyle w:val="Compact"/>
        <w:numPr>
          <w:ilvl w:val="0"/>
          <w:numId w:val="1009"/>
        </w:numPr>
      </w:pPr>
      <w:r>
        <w:rPr>
          <w:rStyle w:val="VerbatimChar"/>
        </w:rPr>
        <w:t xml:space="preserve">E_w(x,y,q) := P_w(x,y,q) ∧ L_w(x,y,q)</w:t>
      </w:r>
      <w:r>
        <w:t xml:space="preserve">; expressive participation adds positive likeness. Likeness is not contained in P and must be obtained from Q for source-participation.</w:t>
      </w:r>
    </w:p>
    <w:p>
      <w:pPr>
        <w:pStyle w:val="Compact"/>
        <w:numPr>
          <w:ilvl w:val="0"/>
          <w:numId w:val="1009"/>
        </w:numPr>
      </w:pPr>
      <w:r>
        <w:rPr>
          <w:rStyle w:val="VerbatimChar"/>
        </w:rPr>
        <w:t xml:space="preserve">U_w(y) := ¬∃x,r D_w(y,x,r)</w:t>
      </w:r>
      <w:r>
        <w:t xml:space="preserve">; underivation is a defined negative profile, not a primitive containing infinity or simplicity.</w:t>
      </w:r>
    </w:p>
    <w:p>
      <w:pPr>
        <w:pStyle w:val="Compact"/>
        <w:numPr>
          <w:ilvl w:val="0"/>
          <w:numId w:val="1009"/>
        </w:numPr>
      </w:pPr>
      <w:r>
        <w:t xml:space="preserve">Communication is productive realization of some positive content in another; expression adds real positive likeness as defined by E. Mere observer interpretation is insufficient for either.</w:t>
      </w:r>
    </w:p>
    <w:p>
      <w:pPr>
        <w:pStyle w:val="Compact"/>
        <w:numPr>
          <w:ilvl w:val="0"/>
          <w:numId w:val="1009"/>
        </w:numPr>
      </w:pPr>
      <w:r>
        <w:t xml:space="preserve">Exhaustion in q requires a receiver’s realization-capacity to reach that of its source. The capacity-order gives a</w:t>
      </w:r>
      <w:r>
        <w:t xml:space="preserve"> </w:t>
      </w:r>
      <w:r>
        <w:rPr>
          <w:b/>
          <w:bCs/>
        </w:rPr>
        <w:t xml:space="preserve">necessary</w:t>
      </w:r>
      <w:r>
        <w:t xml:space="preserve">, not sufficient, condition for an adequate total representation.</w:t>
      </w:r>
    </w:p>
    <w:p>
      <w:pPr>
        <w:pStyle w:val="Compact"/>
        <w:numPr>
          <w:ilvl w:val="0"/>
          <w:numId w:val="1009"/>
        </w:numPr>
      </w:pPr>
      <w:r>
        <w:t xml:space="preserve">Causal intimacy means present sustaining causality in existential actuality, not spatial proximity. Transcendence below means underivation and unbounded actuality, not remoteness.</w:t>
      </w:r>
    </w:p>
    <w:p>
      <w:pPr>
        <w:pStyle w:val="FirstParagraph"/>
      </w:pPr>
      <w:r>
        <w:t xml:space="preserve">Reception and participation therefore need not be primitive. Measure remains independent of a bare dependency graph: relabeling all its nodes with equal capacities leaves every edge unchanged. An elaborate modal dependence relation could encode capacity, but would retain its content under another name.</w:t>
      </w:r>
    </w:p>
    <w:bookmarkEnd w:id="339"/>
    <w:bookmarkStart w:id="340" w:name="nine-substantive-clauses"/>
    <w:p>
      <w:pPr>
        <w:pStyle w:val="Heading3"/>
      </w:pPr>
      <w:r>
        <w:t xml:space="preserve">Nine substantive clauses</w:t>
      </w:r>
    </w:p>
    <w:p>
      <w:pPr>
        <w:pStyle w:val="FirstParagraph"/>
      </w:pPr>
      <w:r>
        <w:t xml:space="preserve">Within the scoped ontology, every actual entity other than</w:t>
      </w:r>
      <w:r>
        <w:t xml:space="preserve"> </w:t>
      </w:r>
      <w:r>
        <w:rPr>
          <w:rStyle w:val="VerbatimChar"/>
        </w:rPr>
        <w:t xml:space="preserve">s</w:t>
      </w:r>
      <w:r>
        <w:t xml:space="preserve"> </w:t>
      </w:r>
      <w:r>
        <w:t xml:space="preserve">is a created actuality. This is a</w:t>
      </w:r>
      <w:r>
        <w:t xml:space="preserve"> </w:t>
      </w:r>
      <w:r>
        <w:rPr>
          <w:b/>
          <w:bCs/>
        </w:rPr>
        <w:t xml:space="preserve">universal sustaining-causality hypothesis</w:t>
      </w:r>
      <w:r>
        <w:t xml:space="preserve">, not a definition from which created dependence is magically deduced. Unknown or rival beings can be put into the domain and tested against it. The ontology models source and created being; it does not treat divine hypostases as three additional beings or decide subsistent Trinitarian relations, the Incarnation, or grace. These assumptions about the source neither derive nor refute those doctrines.</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Label</w:t>
            </w:r>
          </w:p>
        </w:tc>
        <w:tc>
          <w:tcPr>
            <w:tcW w:type="dxa" w:w="7452"/>
            <w:shd w:fill="EAE5DA"/>
          </w:tcPr>
          <w:p>
            <w:pPr>
              <w:pStyle w:val="BodyText"/>
              <w:keepNext w:val="0"/>
              <w:spacing w:after="80" w:line="252" w:lineRule="auto"/>
              <w:jc w:val="left"/>
            </w:pPr>
            <w:r>
              <w:rPr>
                <w:rFonts w:ascii="Calibri" w:hAnsi="Calibri"/>
                <w:b/>
                <w:sz w:val="17"/>
              </w:rPr>
              <w:t xml:space="preserve">Independent commitment</w:t>
            </w:r>
          </w:p>
        </w:tc>
      </w:tr>
      <w:tr>
        <w:tc>
          <w:tcPr>
            <w:tcW w:type="dxa" w:w="2484"/>
          </w:tcPr>
          <w:p>
            <w:pPr>
              <w:pStyle w:val="BodyText"/>
              <w:keepNext w:val="0"/>
              <w:spacing w:after="80" w:line="252" w:lineRule="auto"/>
              <w:jc w:val="left"/>
            </w:pPr>
            <w:r>
              <w:rPr>
                <w:rFonts w:ascii="Calibri" w:hAnsi="Calibri"/>
                <w:sz w:val="17"/>
              </w:rPr>
              <w:t xml:space="preserve">G: universal sustaining causality</w:t>
            </w:r>
          </w:p>
        </w:tc>
        <w:tc>
          <w:tcPr>
            <w:tcW w:type="dxa" w:w="7452"/>
          </w:tcPr>
          <w:p>
            <w:pPr>
              <w:pStyle w:val="BodyText"/>
              <w:keepNext w:val="0"/>
              <w:spacing w:after="80" w:line="252" w:lineRule="auto"/>
              <w:jc w:val="left"/>
            </w:pPr>
            <w:r>
              <w:rPr>
                <w:rFonts w:ascii="Calibri" w:hAnsi="Calibri"/>
                <w:sz w:val="17"/>
              </w:rPr>
              <w:t xml:space="preserve">For every actual</w:t>
            </w:r>
            <w:r>
              <w:rPr>
                <w:rFonts w:ascii="Calibri" w:hAnsi="Calibri"/>
                <w:sz w:val="17"/>
              </w:rPr>
              <w:t xml:space="preserve"> </w:t>
            </w:r>
            <w:r>
              <w:rPr>
                <w:rStyle w:val="VerbatimChar"/>
                <w:sz w:val="17"/>
              </w:rPr>
              <w:t xml:space="preserve">x ≠ s</w:t>
            </w:r>
            <w:r>
              <w:rPr>
                <w:rFonts w:ascii="Calibri" w:hAnsi="Calibri"/>
                <w:sz w:val="17"/>
              </w:rPr>
              <w:t xml:space="preserve"> </w:t>
            </w:r>
            <w:r>
              <w:rPr>
                <w:rFonts w:ascii="Calibri" w:hAnsi="Calibri"/>
                <w:sz w:val="17"/>
              </w:rPr>
              <w:t xml:space="preserve">and every</w:t>
            </w:r>
            <w:r>
              <w:rPr>
                <w:rFonts w:ascii="Calibri" w:hAnsi="Calibri"/>
                <w:sz w:val="17"/>
              </w:rPr>
              <w:t xml:space="preserve"> </w:t>
            </w:r>
            <w:r>
              <w:rPr>
                <w:rStyle w:val="VerbatimChar"/>
                <w:sz w:val="17"/>
              </w:rPr>
              <w:t xml:space="preserve">H(x,q,m)</w:t>
            </w:r>
            <w:r>
              <w:rPr>
                <w:rFonts w:ascii="Calibri" w:hAnsi="Calibri"/>
                <w:sz w:val="17"/>
              </w:rPr>
              <w:t xml:space="preserve">,</w:t>
            </w:r>
            <w:r>
              <w:rPr>
                <w:rFonts w:ascii="Calibri" w:hAnsi="Calibri"/>
                <w:sz w:val="17"/>
              </w:rPr>
              <w:t xml:space="preserve"> </w:t>
            </w:r>
            <w:r>
              <w:rPr>
                <w:rStyle w:val="VerbatimChar"/>
                <w:sz w:val="17"/>
              </w:rPr>
              <w:t xml:space="preserve">C(s,x,q)</w:t>
            </w:r>
            <w:r>
              <w:rPr>
                <w:rFonts w:ascii="Calibri" w:hAnsi="Calibri"/>
                <w:sz w:val="17"/>
              </w:rPr>
              <w:t xml:space="preserve">.</w:t>
            </w:r>
          </w:p>
        </w:tc>
      </w:tr>
      <w:tr>
        <w:tc>
          <w:tcPr>
            <w:tcW w:type="dxa" w:w="2484"/>
          </w:tcPr>
          <w:p>
            <w:pPr>
              <w:pStyle w:val="BodyText"/>
              <w:keepNext w:val="0"/>
              <w:spacing w:after="80" w:line="252" w:lineRule="auto"/>
              <w:jc w:val="left"/>
            </w:pPr>
            <w:r>
              <w:rPr>
                <w:rFonts w:ascii="Calibri" w:hAnsi="Calibri"/>
                <w:sz w:val="17"/>
              </w:rPr>
              <w:t xml:space="preserve">CP: production entails dependence</w:t>
            </w:r>
          </w:p>
        </w:tc>
        <w:tc>
          <w:tcPr>
            <w:tcW w:type="dxa" w:w="7452"/>
          </w:tcPr>
          <w:p>
            <w:pPr>
              <w:pStyle w:val="BodyText"/>
              <w:keepNext w:val="0"/>
              <w:spacing w:after="80" w:line="252" w:lineRule="auto"/>
              <w:jc w:val="left"/>
            </w:pPr>
            <w:r>
              <w:rPr>
                <w:rStyle w:val="VerbatimChar"/>
                <w:sz w:val="17"/>
              </w:rPr>
              <w:t xml:space="preserve">C(y,x,q) → D(x,y,q)</w:t>
            </w:r>
            <w:r>
              <w:rPr>
                <w:rFonts w:ascii="Calibri" w:hAnsi="Calibri"/>
                <w:sz w:val="17"/>
              </w:rPr>
              <w:t xml:space="preserve">.</w:t>
            </w:r>
          </w:p>
        </w:tc>
      </w:tr>
      <w:tr>
        <w:tc>
          <w:tcPr>
            <w:tcW w:type="dxa" w:w="2484"/>
          </w:tcPr>
          <w:p>
            <w:pPr>
              <w:pStyle w:val="BodyText"/>
              <w:keepNext w:val="0"/>
              <w:spacing w:after="80" w:line="252" w:lineRule="auto"/>
              <w:jc w:val="left"/>
            </w:pPr>
            <w:r>
              <w:rPr>
                <w:rFonts w:ascii="Calibri" w:hAnsi="Calibri"/>
                <w:sz w:val="17"/>
              </w:rPr>
              <w:t xml:space="preserve">U: source underivation</w:t>
            </w:r>
          </w:p>
        </w:tc>
        <w:tc>
          <w:tcPr>
            <w:tcW w:type="dxa" w:w="7452"/>
          </w:tcPr>
          <w:p>
            <w:pPr>
              <w:pStyle w:val="BodyText"/>
              <w:keepNext w:val="0"/>
              <w:spacing w:after="80" w:line="252" w:lineRule="auto"/>
              <w:jc w:val="left"/>
            </w:pPr>
            <w:r>
              <w:rPr>
                <w:rStyle w:val="VerbatimChar"/>
                <w:sz w:val="17"/>
              </w:rPr>
              <w:t xml:space="preserve">¬∃y,r D(s,y,r)</w:t>
            </w:r>
            <w:r>
              <w:rPr>
                <w:rFonts w:ascii="Calibri" w:hAnsi="Calibri"/>
                <w:sz w:val="17"/>
              </w:rPr>
              <w:t xml:space="preserve">.</w:t>
            </w:r>
          </w:p>
        </w:tc>
      </w:tr>
      <w:tr>
        <w:tc>
          <w:tcPr>
            <w:tcW w:type="dxa" w:w="2484"/>
          </w:tcPr>
          <w:p>
            <w:pPr>
              <w:pStyle w:val="BodyText"/>
              <w:keepNext w:val="0"/>
              <w:spacing w:after="80" w:line="252" w:lineRule="auto"/>
              <w:jc w:val="left"/>
            </w:pPr>
            <w:r>
              <w:rPr>
                <w:rFonts w:ascii="Calibri" w:hAnsi="Calibri"/>
                <w:sz w:val="17"/>
              </w:rPr>
              <w:t xml:space="preserve">Q: qualitative source adequacy</w:t>
            </w:r>
          </w:p>
        </w:tc>
        <w:tc>
          <w:tcPr>
            <w:tcW w:type="dxa" w:w="7452"/>
          </w:tcPr>
          <w:p>
            <w:pPr>
              <w:pStyle w:val="BodyText"/>
              <w:keepNext w:val="0"/>
              <w:spacing w:after="80" w:line="252" w:lineRule="auto"/>
              <w:jc w:val="left"/>
            </w:pPr>
            <w:r>
              <w:rPr>
                <w:rStyle w:val="VerbatimChar"/>
                <w:sz w:val="17"/>
              </w:rPr>
              <w:t xml:space="preserve">C(s,x,q) ∧ H(x,q,m) → ∃n H(s,q,n)</w:t>
            </w:r>
            <w:r>
              <w:rPr>
                <w:rFonts w:ascii="Calibri" w:hAnsi="Calibri"/>
                <w:sz w:val="17"/>
              </w:rPr>
              <w:t xml:space="preserve">.</w:t>
            </w:r>
          </w:p>
        </w:tc>
      </w:tr>
      <w:tr>
        <w:tc>
          <w:tcPr>
            <w:tcW w:type="dxa" w:w="2484"/>
          </w:tcPr>
          <w:p>
            <w:pPr>
              <w:pStyle w:val="BodyText"/>
              <w:keepNext w:val="0"/>
              <w:spacing w:after="80" w:line="252" w:lineRule="auto"/>
              <w:jc w:val="left"/>
            </w:pPr>
            <w:r>
              <w:rPr>
                <w:rFonts w:ascii="Calibri" w:hAnsi="Calibri"/>
                <w:sz w:val="17"/>
              </w:rPr>
              <w:t xml:space="preserve">KD: constitution entails dependence</w:t>
            </w:r>
          </w:p>
        </w:tc>
        <w:tc>
          <w:tcPr>
            <w:tcW w:type="dxa" w:w="7452"/>
          </w:tcPr>
          <w:p>
            <w:pPr>
              <w:pStyle w:val="BodyText"/>
              <w:keepNext w:val="0"/>
              <w:spacing w:after="80" w:line="252" w:lineRule="auto"/>
              <w:jc w:val="left"/>
            </w:pPr>
            <w:r>
              <w:rPr>
                <w:rStyle w:val="VerbatimChar"/>
                <w:sz w:val="17"/>
              </w:rPr>
              <w:t xml:space="preserve">K(z,y) → D(y,z,e)</w:t>
            </w:r>
            <w:r>
              <w:rPr>
                <w:rFonts w:ascii="Calibri" w:hAnsi="Calibri"/>
                <w:sz w:val="17"/>
              </w:rPr>
              <w:t xml:space="preserve">.</w:t>
            </w:r>
          </w:p>
        </w:tc>
      </w:tr>
      <w:tr>
        <w:tc>
          <w:tcPr>
            <w:tcW w:type="dxa" w:w="2484"/>
          </w:tcPr>
          <w:p>
            <w:pPr>
              <w:pStyle w:val="BodyText"/>
              <w:keepNext w:val="0"/>
              <w:spacing w:after="80" w:line="252" w:lineRule="auto"/>
              <w:jc w:val="left"/>
            </w:pPr>
            <w:r>
              <w:rPr>
                <w:rFonts w:ascii="Calibri" w:hAnsi="Calibri"/>
                <w:sz w:val="17"/>
              </w:rPr>
              <w:t xml:space="preserve">KH: constitutional capacity inheritance</w:t>
            </w:r>
          </w:p>
        </w:tc>
        <w:tc>
          <w:tcPr>
            <w:tcW w:type="dxa" w:w="7452"/>
          </w:tcPr>
          <w:p>
            <w:pPr>
              <w:pStyle w:val="BodyText"/>
              <w:keepNext w:val="0"/>
              <w:spacing w:after="80" w:line="252" w:lineRule="auto"/>
              <w:jc w:val="left"/>
            </w:pPr>
            <w:r>
              <w:rPr>
                <w:rStyle w:val="VerbatimChar"/>
                <w:sz w:val="17"/>
              </w:rPr>
              <w:t xml:space="preserve">K(z,y) ∧ H(z,e,m) ∧ H(y,e,n) → m ≤ n</w:t>
            </w:r>
            <w:r>
              <w:rPr>
                <w:rFonts w:ascii="Calibri" w:hAnsi="Calibri"/>
                <w:sz w:val="17"/>
              </w:rPr>
              <w:t xml:space="preserve">.</w:t>
            </w:r>
          </w:p>
        </w:tc>
      </w:tr>
      <w:tr>
        <w:tc>
          <w:tcPr>
            <w:tcW w:type="dxa" w:w="2484"/>
          </w:tcPr>
          <w:p>
            <w:pPr>
              <w:pStyle w:val="BodyText"/>
              <w:keepNext w:val="0"/>
              <w:spacing w:after="80" w:line="252" w:lineRule="auto"/>
              <w:jc w:val="left"/>
            </w:pPr>
            <w:r>
              <w:rPr>
                <w:rFonts w:ascii="Calibri" w:hAnsi="Calibri"/>
                <w:sz w:val="17"/>
              </w:rPr>
              <w:t xml:space="preserve">FS: source unboundedness</w:t>
            </w:r>
          </w:p>
        </w:tc>
        <w:tc>
          <w:tcPr>
            <w:tcW w:type="dxa" w:w="7452"/>
          </w:tcPr>
          <w:p>
            <w:pPr>
              <w:pStyle w:val="BodyText"/>
              <w:keepNext w:val="0"/>
              <w:spacing w:after="80" w:line="252" w:lineRule="auto"/>
              <w:jc w:val="left"/>
            </w:pPr>
            <w:r>
              <w:rPr>
                <w:rStyle w:val="VerbatimChar"/>
                <w:sz w:val="17"/>
              </w:rPr>
              <w:t xml:space="preserve">H(s,e,∞)</w:t>
            </w:r>
            <w:r>
              <w:rPr>
                <w:rFonts w:ascii="Calibri" w:hAnsi="Calibri"/>
                <w:sz w:val="17"/>
              </w:rPr>
              <w:t xml:space="preserve">.</w:t>
            </w:r>
          </w:p>
        </w:tc>
      </w:tr>
      <w:tr>
        <w:tc>
          <w:tcPr>
            <w:tcW w:type="dxa" w:w="2484"/>
          </w:tcPr>
          <w:p>
            <w:pPr>
              <w:pStyle w:val="BodyText"/>
              <w:keepNext w:val="0"/>
              <w:spacing w:after="80" w:line="252" w:lineRule="auto"/>
              <w:jc w:val="left"/>
            </w:pPr>
            <w:r>
              <w:rPr>
                <w:rFonts w:ascii="Calibri" w:hAnsi="Calibri"/>
                <w:sz w:val="17"/>
              </w:rPr>
              <w:t xml:space="preserve">FC: created finitude</w:t>
            </w:r>
          </w:p>
        </w:tc>
        <w:tc>
          <w:tcPr>
            <w:tcW w:type="dxa" w:w="7452"/>
          </w:tcPr>
          <w:p>
            <w:pPr>
              <w:pStyle w:val="BodyText"/>
              <w:keepNext w:val="0"/>
              <w:spacing w:after="80" w:line="252" w:lineRule="auto"/>
              <w:jc w:val="left"/>
            </w:pPr>
            <w:r>
              <w:rPr>
                <w:rFonts w:ascii="Calibri" w:hAnsi="Calibri"/>
                <w:sz w:val="17"/>
              </w:rPr>
              <w:t xml:space="preserve">Every existential mode</w:t>
            </w:r>
            <w:r>
              <w:rPr>
                <w:rFonts w:ascii="Calibri" w:hAnsi="Calibri"/>
                <w:sz w:val="17"/>
              </w:rPr>
              <w:t xml:space="preserve"> </w:t>
            </w:r>
            <w:r>
              <w:rPr>
                <w:rStyle w:val="VerbatimChar"/>
                <w:sz w:val="17"/>
              </w:rPr>
              <w:t xml:space="preserve">H(x,e,m)</w:t>
            </w:r>
            <w:r>
              <w:rPr>
                <w:rFonts w:ascii="Calibri" w:hAnsi="Calibri"/>
                <w:sz w:val="17"/>
              </w:rPr>
              <w:t xml:space="preserve"> </w:t>
            </w:r>
            <w:r>
              <w:rPr>
                <w:rFonts w:ascii="Calibri" w:hAnsi="Calibri"/>
                <w:sz w:val="17"/>
              </w:rPr>
              <w:t xml:space="preserve">of an actual</w:t>
            </w:r>
            <w:r>
              <w:rPr>
                <w:rFonts w:ascii="Calibri" w:hAnsi="Calibri"/>
                <w:sz w:val="17"/>
              </w:rPr>
              <w:t xml:space="preserve"> </w:t>
            </w:r>
            <w:r>
              <w:rPr>
                <w:rStyle w:val="VerbatimChar"/>
                <w:sz w:val="17"/>
              </w:rPr>
              <w:t xml:space="preserve">x ≠ s</w:t>
            </w:r>
            <w:r>
              <w:rPr>
                <w:rFonts w:ascii="Calibri" w:hAnsi="Calibri"/>
                <w:sz w:val="17"/>
              </w:rPr>
              <w:t xml:space="preserve"> </w:t>
            </w:r>
            <w:r>
              <w:rPr>
                <w:rFonts w:ascii="Calibri" w:hAnsi="Calibri"/>
                <w:sz w:val="17"/>
              </w:rPr>
              <w:t xml:space="preserve">is bounded.</w:t>
            </w:r>
          </w:p>
        </w:tc>
      </w:tr>
      <w:tr>
        <w:tc>
          <w:tcPr>
            <w:tcW w:type="dxa" w:w="2484"/>
          </w:tcPr>
          <w:p>
            <w:pPr>
              <w:pStyle w:val="BodyText"/>
              <w:keepNext w:val="0"/>
              <w:spacing w:after="80" w:line="252" w:lineRule="auto"/>
              <w:jc w:val="left"/>
            </w:pPr>
            <w:r>
              <w:rPr>
                <w:rFonts w:ascii="Calibri" w:hAnsi="Calibri"/>
                <w:sz w:val="17"/>
              </w:rPr>
              <w:t xml:space="preserve">X: unchanged source across creation alternatives</w:t>
            </w:r>
          </w:p>
        </w:tc>
        <w:tc>
          <w:tcPr>
            <w:tcW w:type="dxa" w:w="7452"/>
          </w:tcPr>
          <w:p>
            <w:pPr>
              <w:pStyle w:val="BodyText"/>
              <w:keepNext w:val="0"/>
              <w:spacing w:after="80" w:line="252" w:lineRule="auto"/>
              <w:jc w:val="left"/>
            </w:pPr>
            <w:r>
              <w:rPr>
                <w:rFonts w:ascii="Calibri" w:hAnsi="Calibri"/>
                <w:sz w:val="17"/>
              </w:rPr>
              <w:t xml:space="preserve">Across admitted situations, differences in the source’s created effects and its relations to them add no difference to</w:t>
            </w:r>
            <w:r>
              <w:rPr>
                <w:rFonts w:ascii="Calibri" w:hAnsi="Calibri"/>
                <w:sz w:val="17"/>
              </w:rPr>
              <w:t xml:space="preserve"> </w:t>
            </w:r>
            <w:r>
              <w:rPr>
                <w:rStyle w:val="VerbatimChar"/>
                <w:sz w:val="17"/>
              </w:rPr>
              <w:t xml:space="preserve">J(s)</w:t>
            </w:r>
            <w:r>
              <w:rPr>
                <w:rFonts w:ascii="Calibri" w:hAnsi="Calibri"/>
                <w:sz w:val="17"/>
              </w:rPr>
              <w:t xml:space="preserve">.</w:t>
            </w:r>
          </w:p>
        </w:tc>
      </w:tr>
    </w:tbl>
    <w:p>
      <w:pPr>
        <w:pStyle w:val="BodyText"/>
      </w:pPr>
      <w:r>
        <w:t xml:space="preserve">G, U, FS, and FC are substantive assumptions about the divine source and created recipients. They do not follow from generic participation. CP, Q, KD, and KH are bridges between independently interpreted categories. X is an additional modal commitment about intrinsic actuality, needed for the strongest mixed-relation account; omit it from a merely static core. X does</w:t>
      </w:r>
      <w:r>
        <w:t xml:space="preserve"> </w:t>
      </w:r>
      <w:r>
        <w:rPr>
          <w:b/>
          <w:bCs/>
        </w:rPr>
        <w:t xml:space="preserve">not</w:t>
      </w:r>
      <w:r>
        <w:t xml:space="preserve"> </w:t>
      </w:r>
      <w:r>
        <w:t xml:space="preserve">stipulate identical object-directed intention in different worlds: it distinguishes intrinsic qualitative actuality from object-relative determination. Whether this distinction adequately models willing is a further theological problem.</w:t>
      </w:r>
    </w:p>
    <w:p>
      <w:pPr>
        <w:pStyle w:val="BodyText"/>
      </w:pPr>
      <w:r>
        <w:t xml:space="preserve">Q deliberately does not include a universal inequality between cause and effect modes. Such an inequality would imply that an unlimited source could not depend productively on a bounded cause, rather than supplying a neutral likeness bridge. The present Q is restricted to the proposed source; it does not require every instrument to intrinsically exhibit every positive effect-perfection. It asserts genuinely shared positive source-content, under potentially different modes, and must receive an analogical interpretation warranted by the historical evidence. FS and FC concern existential actuality e. For unrestricted perfection-by-perfection nonexhaustion, separately extend them to every relevant q. Those all-q profiles are not derived merely by labeling arbitrary H-predicates</w:t>
      </w:r>
      <w:r>
        <w:t xml:space="preserve"> </w:t>
      </w:r>
      <w:r>
        <w:t xml:space="preserve">“</w:t>
      </w:r>
      <w:r>
        <w:t xml:space="preserve">perfections.</w:t>
      </w:r>
      <w:r>
        <w:t xml:space="preserve">”</w:t>
      </w:r>
    </w:p>
    <w:p>
      <w:pPr>
        <w:pStyle w:val="BodyText"/>
      </w:pPr>
      <w:r>
        <w:t xml:space="preserve">Likewise, generic asymmetry is not an extra axiom here. CP and U already yield asymmetric source–effect dependence. A global prohibition on cycles between other entities would be an additional theory of grounding, not needed for these source-specific theorems.</w:t>
      </w:r>
    </w:p>
    <w:bookmarkEnd w:id="340"/>
    <w:bookmarkStart w:id="341" w:name="derivation-tree-and-theorem-status"/>
    <w:p>
      <w:pPr>
        <w:pStyle w:val="Heading3"/>
      </w:pPr>
      <w:r>
        <w:t xml:space="preserve">Derivation tree and theorem status</w:t>
      </w:r>
    </w:p>
    <w:p>
      <w:pPr>
        <w:pStyle w:val="FirstParagraph"/>
      </w:pPr>
      <w:r>
        <w:t xml:space="preserve">First, G and CP give</w:t>
      </w:r>
      <w:r>
        <w:t xml:space="preserve"> </w:t>
      </w:r>
      <w:r>
        <w:rPr>
          <w:rStyle w:val="VerbatimChar"/>
        </w:rPr>
        <w:t xml:space="preserve">D(x,s,q)</w:t>
      </w:r>
      <w:r>
        <w:t xml:space="preserve"> </w:t>
      </w:r>
      <w:r>
        <w:t xml:space="preserve">for every realized created perfection. U forbids</w:t>
      </w:r>
      <w:r>
        <w:t xml:space="preserve"> </w:t>
      </w:r>
      <w:r>
        <w:rPr>
          <w:rStyle w:val="VerbatimChar"/>
        </w:rPr>
        <w:t xml:space="preserve">D(s,x,r)</w:t>
      </w:r>
      <w:r>
        <w:t xml:space="preserve"> </w:t>
      </w:r>
      <w:r>
        <w:t xml:space="preserve">in every respect. If a purported effect of s were s itself, CP would contradict U. Thus source and effect are genuinely distinct and dependence is asymmetric.</w:t>
      </w:r>
    </w:p>
    <w:p>
      <w:pPr>
        <w:pStyle w:val="BodyText"/>
      </w:pPr>
      <w:r>
        <w:t xml:space="preserve">Second, G and Q give</w:t>
      </w:r>
      <w:r>
        <w:t xml:space="preserve"> </w:t>
      </w:r>
      <w:r>
        <w:rPr>
          <w:rStyle w:val="VerbatimChar"/>
        </w:rPr>
        <w:t xml:space="preserve">H(s,q,n)</w:t>
      </w:r>
      <w:r>
        <w:t xml:space="preserve"> </w:t>
      </w:r>
      <w:r>
        <w:t xml:space="preserve">for every positive created realization</w:t>
      </w:r>
      <w:r>
        <w:t xml:space="preserve"> </w:t>
      </w:r>
      <w:r>
        <w:rPr>
          <w:rStyle w:val="VerbatimChar"/>
        </w:rPr>
        <w:t xml:space="preserve">H(x,q,m)</w:t>
      </w:r>
      <w:r>
        <w:t xml:space="preserve">. For existential actuality e, FS fixes</w:t>
      </w:r>
      <w:r>
        <w:t xml:space="preserve"> </w:t>
      </w:r>
      <w:r>
        <w:rPr>
          <w:rStyle w:val="VerbatimChar"/>
        </w:rPr>
        <w:t xml:space="preserve">n=∞</w:t>
      </w:r>
      <w:r>
        <w:t xml:space="preserve">; FC makes</w:t>
      </w:r>
      <w:r>
        <w:t xml:space="preserve"> </w:t>
      </w:r>
      <w:r>
        <w:rPr>
          <w:rStyle w:val="VerbatimChar"/>
        </w:rPr>
        <w:t xml:space="preserve">m&lt;∞</w:t>
      </w:r>
      <w:r>
        <w:t xml:space="preserve">. This proves positive likeness and, in e, unlike modes and a strict failure of the necessary condition for exhaustive representation. It does not show that finite language comprehends the source’s mode. For any other q the capacity conclusion is conditional on the corresponding unbounded-source/bounded-recipient profile.</w:t>
      </w:r>
    </w:p>
    <w:p>
      <w:pPr>
        <w:pStyle w:val="BodyText"/>
      </w:pPr>
      <w:r>
        <w:t xml:space="preserve">Third, KD and U imply that s has no proper actual intrinsic constituent: any such constituent would ground a source-dependence. This is the stated notion of simplicity, not a proof that every conceptual or formal distinction is composition. If s were a constituent of x, KH would require</w:t>
      </w:r>
      <w:r>
        <w:t xml:space="preserve"> </w:t>
      </w:r>
      <w:r>
        <w:rPr>
          <w:rStyle w:val="VerbatimChar"/>
        </w:rPr>
        <w:t xml:space="preserve">∞ ≤ m_x</w:t>
      </w:r>
      <w:r>
        <w:t xml:space="preserve">; FC contradicts this. Therefore neither a created entity in s nor s in a creature is an intrinsic component.</w:t>
      </w:r>
    </w:p>
    <w:p>
      <w:pPr>
        <w:pStyle w:val="SourceCode"/>
      </w:pPr>
      <w:r>
        <w:rPr>
          <w:rStyle w:val="VerbatimChar"/>
        </w:rPr>
        <w:t xml:space="preserve">G + CP + U ── asymmetric dependence and nonidentity</w:t>
      </w:r>
      <w:r>
        <w:br/>
      </w:r>
      <w:r>
        <w:rPr>
          <w:rStyle w:val="VerbatimChar"/>
        </w:rPr>
        <w:t xml:space="preserve">G + Q ─────── positive causal likeness</w:t>
      </w:r>
      <w:r>
        <w:br/>
      </w:r>
      <w:r>
        <w:rPr>
          <w:rStyle w:val="VerbatimChar"/>
        </w:rPr>
        <w:t xml:space="preserve">G + Q + FS + FC ── finite, nonexhaustive expression</w:t>
      </w:r>
      <w:r>
        <w:br/>
      </w:r>
      <w:r>
        <w:rPr>
          <w:rStyle w:val="VerbatimChar"/>
        </w:rPr>
        <w:t xml:space="preserve">KD + U ────── no intrinsic constituents in the source</w:t>
      </w:r>
      <w:r>
        <w:br/>
      </w:r>
      <w:r>
        <w:rPr>
          <w:rStyle w:val="VerbatimChar"/>
        </w:rPr>
        <w:t xml:space="preserve">KH + FS + FC ── source not an intrinsic constituent of a creature</w:t>
      </w:r>
      <w:r>
        <w:br/>
      </w:r>
      <w:r>
        <w:rPr>
          <w:rStyle w:val="VerbatimChar"/>
        </w:rPr>
        <w:t xml:space="preserve">these branches together ── nonpartitioned causal participation</w:t>
      </w:r>
      <w:r>
        <w:br/>
      </w:r>
      <w:r>
        <w:rPr>
          <w:rStyle w:val="VerbatimChar"/>
        </w:rPr>
        <w:t xml:space="preserve">above + X ─── changing effects without source-constitution</w:t>
      </w:r>
      <w:r>
        <w:br/>
      </w:r>
      <w:r>
        <w:rPr>
          <w:rStyle w:val="VerbatimChar"/>
        </w:rPr>
        <w:t xml:space="preserve">above + N ─── no shared natural genus in the essentialist sense</w:t>
      </w:r>
      <w:r>
        <w:br/>
      </w:r>
      <w:r>
        <w:rPr>
          <w:rStyle w:val="VerbatimChar"/>
        </w:rPr>
        <w:t xml:space="preserve">above + alternatives + intentional selection ── scope for free creation</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Target</w:t>
            </w:r>
          </w:p>
        </w:tc>
        <w:tc>
          <w:tcPr>
            <w:tcW w:type="dxa" w:w="7452"/>
            <w:shd w:fill="EAE5DA"/>
          </w:tcPr>
          <w:p>
            <w:pPr>
              <w:pStyle w:val="BodyText"/>
              <w:keepNext w:val="0"/>
              <w:spacing w:after="80" w:line="252" w:lineRule="auto"/>
              <w:jc w:val="left"/>
            </w:pPr>
            <w:r>
              <w:rPr>
                <w:rFonts w:ascii="Calibri" w:hAnsi="Calibri"/>
                <w:b/>
                <w:sz w:val="17"/>
              </w:rPr>
              <w:t xml:space="preserve">What is obtained</w:t>
            </w:r>
          </w:p>
        </w:tc>
      </w:tr>
      <w:tr>
        <w:tc>
          <w:tcPr>
            <w:tcW w:type="dxa" w:w="2484"/>
          </w:tcPr>
          <w:p>
            <w:pPr>
              <w:pStyle w:val="BodyText"/>
              <w:keepNext w:val="0"/>
              <w:spacing w:after="80" w:line="252" w:lineRule="auto"/>
              <w:jc w:val="left"/>
            </w:pPr>
            <w:r>
              <w:rPr>
                <w:rFonts w:ascii="Calibri" w:hAnsi="Calibri"/>
                <w:sz w:val="17"/>
              </w:rPr>
              <w:t xml:space="preserve">T1 Participation without partition</w:t>
            </w:r>
          </w:p>
        </w:tc>
        <w:tc>
          <w:tcPr>
            <w:tcW w:type="dxa" w:w="7452"/>
          </w:tcPr>
          <w:p>
            <w:pPr>
              <w:pStyle w:val="BodyText"/>
              <w:keepNext w:val="0"/>
              <w:spacing w:after="80" w:line="252" w:lineRule="auto"/>
              <w:jc w:val="left"/>
            </w:pPr>
            <w:r>
              <w:rPr>
                <w:rFonts w:ascii="Calibri" w:hAnsi="Calibri"/>
                <w:sz w:val="17"/>
              </w:rPr>
              <w:t xml:space="preserve">G + CP give participation for realized created content; Q additionally supplies causal likeness. KD/U forbid divine proper parts; KH/FS/FC forbid the source as an intrinsic constituent of a creature.</w:t>
            </w:r>
          </w:p>
        </w:tc>
      </w:tr>
      <w:tr>
        <w:tc>
          <w:tcPr>
            <w:tcW w:type="dxa" w:w="2484"/>
          </w:tcPr>
          <w:p>
            <w:pPr>
              <w:pStyle w:val="BodyText"/>
              <w:keepNext w:val="0"/>
              <w:spacing w:after="80" w:line="252" w:lineRule="auto"/>
              <w:jc w:val="left"/>
            </w:pPr>
            <w:r>
              <w:rPr>
                <w:rFonts w:ascii="Calibri" w:hAnsi="Calibri"/>
                <w:sz w:val="17"/>
              </w:rPr>
              <w:t xml:space="preserve">T2 Likeness without identity</w:t>
            </w:r>
          </w:p>
        </w:tc>
        <w:tc>
          <w:tcPr>
            <w:tcW w:type="dxa" w:w="7452"/>
          </w:tcPr>
          <w:p>
            <w:pPr>
              <w:pStyle w:val="BodyText"/>
              <w:keepNext w:val="0"/>
              <w:spacing w:after="80" w:line="252" w:lineRule="auto"/>
              <w:jc w:val="left"/>
            </w:pPr>
            <w:r>
              <w:rPr>
                <w:rFonts w:ascii="Calibri" w:hAnsi="Calibri"/>
                <w:sz w:val="17"/>
              </w:rPr>
              <w:t xml:space="preserve">G/Q give likeness; CP/U forbid a source’s productive effect being itself.</w:t>
            </w:r>
          </w:p>
        </w:tc>
      </w:tr>
      <w:tr>
        <w:tc>
          <w:tcPr>
            <w:tcW w:type="dxa" w:w="2484"/>
          </w:tcPr>
          <w:p>
            <w:pPr>
              <w:pStyle w:val="BodyText"/>
              <w:keepNext w:val="0"/>
              <w:spacing w:after="80" w:line="252" w:lineRule="auto"/>
              <w:jc w:val="left"/>
            </w:pPr>
            <w:r>
              <w:rPr>
                <w:rFonts w:ascii="Calibri" w:hAnsi="Calibri"/>
                <w:sz w:val="17"/>
              </w:rPr>
              <w:t xml:space="preserve">T3 Likeness without common genus</w:t>
            </w:r>
          </w:p>
        </w:tc>
        <w:tc>
          <w:tcPr>
            <w:tcW w:type="dxa" w:w="7452"/>
          </w:tcPr>
          <w:p>
            <w:pPr>
              <w:pStyle w:val="BodyText"/>
              <w:keepNext w:val="0"/>
              <w:spacing w:after="80" w:line="252" w:lineRule="auto"/>
              <w:jc w:val="left"/>
            </w:pPr>
            <w:r>
              <w:rPr>
                <w:rFonts w:ascii="Calibri" w:hAnsi="Calibri"/>
                <w:sz w:val="17"/>
              </w:rPr>
              <w:t xml:space="preserve">Shared content does not entail genus. Actual exclusion of a natural genus additionally needs N below.</w:t>
            </w:r>
          </w:p>
        </w:tc>
      </w:tr>
      <w:tr>
        <w:tc>
          <w:tcPr>
            <w:tcW w:type="dxa" w:w="2484"/>
          </w:tcPr>
          <w:p>
            <w:pPr>
              <w:pStyle w:val="BodyText"/>
              <w:keepNext w:val="0"/>
              <w:spacing w:after="80" w:line="252" w:lineRule="auto"/>
              <w:jc w:val="left"/>
            </w:pPr>
            <w:r>
              <w:rPr>
                <w:rFonts w:ascii="Calibri" w:hAnsi="Calibri"/>
                <w:sz w:val="17"/>
              </w:rPr>
              <w:t xml:space="preserve">T4 Dependence without reciprocal completion</w:t>
            </w:r>
          </w:p>
        </w:tc>
        <w:tc>
          <w:tcPr>
            <w:tcW w:type="dxa" w:w="7452"/>
          </w:tcPr>
          <w:p>
            <w:pPr>
              <w:pStyle w:val="BodyText"/>
              <w:keepNext w:val="0"/>
              <w:spacing w:after="80" w:line="252" w:lineRule="auto"/>
              <w:jc w:val="left"/>
            </w:pPr>
            <w:r>
              <w:rPr>
                <w:rFonts w:ascii="Calibri" w:hAnsi="Calibri"/>
                <w:sz w:val="17"/>
              </w:rPr>
              <w:t xml:space="preserve">G/CP/U give real one-way dependence.</w:t>
            </w:r>
            <w:r>
              <w:rPr>
                <w:rFonts w:ascii="Calibri" w:hAnsi="Calibri"/>
                <w:sz w:val="17"/>
              </w:rPr>
              <w:t xml:space="preserve"> </w:t>
            </w:r>
            <w:r>
              <w:rPr>
                <w:rFonts w:ascii="Calibri" w:hAnsi="Calibri"/>
                <w:sz w:val="17"/>
              </w:rPr>
              <w:t xml:space="preserve">“</w:t>
            </w:r>
            <w:r>
              <w:rPr>
                <w:rFonts w:ascii="Calibri" w:hAnsi="Calibri"/>
                <w:sz w:val="17"/>
              </w:rPr>
              <w:t xml:space="preserve">Acquired from the effect</w:t>
            </w:r>
            <w:r>
              <w:rPr>
                <w:rFonts w:ascii="Calibri" w:hAnsi="Calibri"/>
                <w:sz w:val="17"/>
              </w:rPr>
              <w:t xml:space="preserve">”</w:t>
            </w:r>
            <w:r>
              <w:rPr>
                <w:rFonts w:ascii="Calibri" w:hAnsi="Calibri"/>
                <w:sz w:val="17"/>
              </w:rPr>
              <w:t xml:space="preserve"> </w:t>
            </w:r>
            <w:r>
              <w:rPr>
                <w:rFonts w:ascii="Calibri" w:hAnsi="Calibri"/>
                <w:sz w:val="17"/>
              </w:rPr>
              <w:t xml:space="preserve">would be a dependence and violates U.</w:t>
            </w:r>
          </w:p>
        </w:tc>
      </w:tr>
      <w:tr>
        <w:tc>
          <w:tcPr>
            <w:tcW w:type="dxa" w:w="2484"/>
          </w:tcPr>
          <w:p>
            <w:pPr>
              <w:pStyle w:val="BodyText"/>
              <w:keepNext w:val="0"/>
              <w:spacing w:after="80" w:line="252" w:lineRule="auto"/>
              <w:jc w:val="left"/>
            </w:pPr>
            <w:r>
              <w:rPr>
                <w:rFonts w:ascii="Calibri" w:hAnsi="Calibri"/>
                <w:sz w:val="17"/>
              </w:rPr>
              <w:t xml:space="preserve">T5 Causal intimacy without constituent identity</w:t>
            </w:r>
          </w:p>
        </w:tc>
        <w:tc>
          <w:tcPr>
            <w:tcW w:type="dxa" w:w="7452"/>
          </w:tcPr>
          <w:p>
            <w:pPr>
              <w:pStyle w:val="BodyText"/>
              <w:keepNext w:val="0"/>
              <w:spacing w:after="80" w:line="252" w:lineRule="auto"/>
              <w:jc w:val="left"/>
            </w:pPr>
            <w:r>
              <w:rPr>
                <w:rFonts w:ascii="Calibri" w:hAnsi="Calibri"/>
                <w:sz w:val="17"/>
              </w:rPr>
              <w:t xml:space="preserve">G gives present existential sustenance; the two constituency arguments exclude incorporation.</w:t>
            </w:r>
          </w:p>
        </w:tc>
      </w:tr>
      <w:tr>
        <w:tc>
          <w:tcPr>
            <w:tcW w:type="dxa" w:w="2484"/>
          </w:tcPr>
          <w:p>
            <w:pPr>
              <w:pStyle w:val="BodyText"/>
              <w:keepNext w:val="0"/>
              <w:spacing w:after="80" w:line="252" w:lineRule="auto"/>
              <w:jc w:val="left"/>
            </w:pPr>
            <w:r>
              <w:rPr>
                <w:rFonts w:ascii="Calibri" w:hAnsi="Calibri"/>
                <w:sz w:val="17"/>
              </w:rPr>
              <w:t xml:space="preserve">T6 Transcendence without distance</w:t>
            </w:r>
          </w:p>
        </w:tc>
        <w:tc>
          <w:tcPr>
            <w:tcW w:type="dxa" w:w="7452"/>
          </w:tcPr>
          <w:p>
            <w:pPr>
              <w:pStyle w:val="BodyText"/>
              <w:keepNext w:val="0"/>
              <w:spacing w:after="80" w:line="252" w:lineRule="auto"/>
              <w:jc w:val="left"/>
            </w:pPr>
            <w:r>
              <w:rPr>
                <w:rFonts w:ascii="Calibri" w:hAnsi="Calibri"/>
                <w:sz w:val="17"/>
              </w:rPr>
              <w:t xml:space="preserve">U/FS express transcendence; G expresses present causality. No spatial-distance entailment exists. Actual spacelessness requires a separate premise.</w:t>
            </w:r>
          </w:p>
        </w:tc>
      </w:tr>
      <w:tr>
        <w:tc>
          <w:tcPr>
            <w:tcW w:type="dxa" w:w="2484"/>
          </w:tcPr>
          <w:p>
            <w:pPr>
              <w:pStyle w:val="BodyText"/>
              <w:keepNext w:val="0"/>
              <w:spacing w:after="80" w:line="252" w:lineRule="auto"/>
              <w:jc w:val="left"/>
            </w:pPr>
            <w:r>
              <w:rPr>
                <w:rFonts w:ascii="Calibri" w:hAnsi="Calibri"/>
                <w:sz w:val="17"/>
              </w:rPr>
              <w:t xml:space="preserve">T7 Finite manifestation without exhaustive representation</w:t>
            </w:r>
          </w:p>
        </w:tc>
        <w:tc>
          <w:tcPr>
            <w:tcW w:type="dxa" w:w="7452"/>
          </w:tcPr>
          <w:p>
            <w:pPr>
              <w:pStyle w:val="BodyText"/>
              <w:keepNext w:val="0"/>
              <w:spacing w:after="80" w:line="252" w:lineRule="auto"/>
              <w:jc w:val="left"/>
            </w:pPr>
            <w:r>
              <w:rPr>
                <w:rFonts w:ascii="Calibri" w:hAnsi="Calibri"/>
                <w:sz w:val="17"/>
              </w:rPr>
              <w:t xml:space="preserve">G/Q/FS/FC show that a finite actual creature cannot exhaust the source’s total existential actuality. A perfection-specific capacity claim requires its own bounded/unbounded profile.</w:t>
            </w:r>
          </w:p>
        </w:tc>
      </w:tr>
      <w:tr>
        <w:tc>
          <w:tcPr>
            <w:tcW w:type="dxa" w:w="2484"/>
          </w:tcPr>
          <w:p>
            <w:pPr>
              <w:pStyle w:val="BodyText"/>
              <w:keepNext w:val="0"/>
              <w:spacing w:after="80" w:line="252" w:lineRule="auto"/>
              <w:jc w:val="left"/>
            </w:pPr>
            <w:r>
              <w:rPr>
                <w:rFonts w:ascii="Calibri" w:hAnsi="Calibri"/>
                <w:sz w:val="17"/>
              </w:rPr>
              <w:t xml:space="preserve">T8 Real communication without source-completion</w:t>
            </w:r>
          </w:p>
        </w:tc>
        <w:tc>
          <w:tcPr>
            <w:tcW w:type="dxa" w:w="7452"/>
          </w:tcPr>
          <w:p>
            <w:pPr>
              <w:pStyle w:val="BodyText"/>
              <w:keepNext w:val="0"/>
              <w:spacing w:after="80" w:line="252" w:lineRule="auto"/>
              <w:jc w:val="left"/>
            </w:pPr>
            <w:r>
              <w:rPr>
                <w:rFonts w:ascii="Calibri" w:hAnsi="Calibri"/>
                <w:sz w:val="17"/>
              </w:rPr>
              <w:t xml:space="preserve">G/Q produce actual positive realization; U excludes received source-perfection. X excludes intrinsic alteration alongside differences in created effects.</w:t>
            </w:r>
          </w:p>
        </w:tc>
      </w:tr>
      <w:tr>
        <w:tc>
          <w:tcPr>
            <w:tcW w:type="dxa" w:w="2484"/>
          </w:tcPr>
          <w:p>
            <w:pPr>
              <w:pStyle w:val="BodyText"/>
              <w:keepNext w:val="0"/>
              <w:spacing w:after="80" w:line="252" w:lineRule="auto"/>
              <w:jc w:val="left"/>
            </w:pPr>
            <w:r>
              <w:rPr>
                <w:rFonts w:ascii="Calibri" w:hAnsi="Calibri"/>
                <w:sz w:val="17"/>
              </w:rPr>
              <w:t xml:space="preserve">T9 Real perfection without independent Forms</w:t>
            </w:r>
          </w:p>
        </w:tc>
        <w:tc>
          <w:tcPr>
            <w:tcW w:type="dxa" w:w="7452"/>
          </w:tcPr>
          <w:p>
            <w:pPr>
              <w:pStyle w:val="BodyText"/>
              <w:keepNext w:val="0"/>
              <w:spacing w:after="80" w:line="252" w:lineRule="auto"/>
              <w:jc w:val="left"/>
            </w:pPr>
            <w:r>
              <w:rPr>
                <w:rFonts w:ascii="Calibri" w:hAnsi="Calibri"/>
                <w:sz w:val="17"/>
              </w:rPr>
              <w:t xml:space="preserve">G/Q explain creaturely perfection through the actual source; any independently actual causal Form violates G/CP/U if it claims underivation. Inert abstracta remain open.</w:t>
            </w:r>
          </w:p>
        </w:tc>
      </w:tr>
      <w:tr>
        <w:tc>
          <w:tcPr>
            <w:tcW w:type="dxa" w:w="2484"/>
          </w:tcPr>
          <w:p>
            <w:pPr>
              <w:pStyle w:val="BodyText"/>
              <w:keepNext w:val="0"/>
              <w:spacing w:after="80" w:line="252" w:lineRule="auto"/>
              <w:jc w:val="left"/>
            </w:pPr>
            <w:r>
              <w:rPr>
                <w:rFonts w:ascii="Calibri" w:hAnsi="Calibri"/>
                <w:sz w:val="17"/>
              </w:rPr>
              <w:t xml:space="preserve">T10 Immanence without pantheistic identity</w:t>
            </w:r>
          </w:p>
        </w:tc>
        <w:tc>
          <w:tcPr>
            <w:tcW w:type="dxa" w:w="7452"/>
          </w:tcPr>
          <w:p>
            <w:pPr>
              <w:pStyle w:val="BodyText"/>
              <w:keepNext w:val="0"/>
              <w:spacing w:after="80" w:line="252" w:lineRule="auto"/>
              <w:jc w:val="left"/>
            </w:pPr>
            <w:r>
              <w:rPr>
                <w:rFonts w:ascii="Calibri" w:hAnsi="Calibri"/>
                <w:sz w:val="17"/>
              </w:rPr>
              <w:t xml:space="preserve">G supplies present sustaining causality; CP/U and the constituency exclusions block identity and intrinsic incorporation. Secondary causes are not thereby excluded.</w:t>
            </w:r>
          </w:p>
        </w:tc>
      </w:tr>
      <w:tr>
        <w:tc>
          <w:tcPr>
            <w:tcW w:type="dxa" w:w="2484"/>
          </w:tcPr>
          <w:p>
            <w:pPr>
              <w:pStyle w:val="BodyText"/>
              <w:keepNext w:val="0"/>
              <w:spacing w:after="80" w:line="252" w:lineRule="auto"/>
              <w:jc w:val="left"/>
            </w:pPr>
            <w:r>
              <w:rPr>
                <w:rFonts w:ascii="Calibri" w:hAnsi="Calibri"/>
                <w:sz w:val="17"/>
              </w:rPr>
              <w:t xml:space="preserve">T11 Mixed relation</w:t>
            </w:r>
          </w:p>
        </w:tc>
        <w:tc>
          <w:tcPr>
            <w:tcW w:type="dxa" w:w="7452"/>
          </w:tcPr>
          <w:p>
            <w:pPr>
              <w:pStyle w:val="BodyText"/>
              <w:keepNext w:val="0"/>
              <w:spacing w:after="80" w:line="252" w:lineRule="auto"/>
              <w:jc w:val="left"/>
            </w:pPr>
            <w:r>
              <w:rPr>
                <w:rFonts w:ascii="Calibri" w:hAnsi="Calibri"/>
                <w:sz w:val="17"/>
              </w:rPr>
              <w:t xml:space="preserve">G/CP make creaturely dependence real; U/KD/X deny source constitution by the creature. True source-directed predications need not be intrinsic divine accidents.</w:t>
            </w:r>
          </w:p>
        </w:tc>
      </w:tr>
      <w:tr>
        <w:tc>
          <w:tcPr>
            <w:tcW w:type="dxa" w:w="2484"/>
          </w:tcPr>
          <w:p>
            <w:pPr>
              <w:pStyle w:val="BodyText"/>
              <w:keepNext w:val="0"/>
              <w:spacing w:after="80" w:line="252" w:lineRule="auto"/>
              <w:jc w:val="left"/>
            </w:pPr>
            <w:r>
              <w:rPr>
                <w:rFonts w:ascii="Calibri" w:hAnsi="Calibri"/>
                <w:sz w:val="17"/>
              </w:rPr>
              <w:t xml:space="preserve">T12 Receiver’s finite measure does not limit source</w:t>
            </w:r>
          </w:p>
        </w:tc>
        <w:tc>
          <w:tcPr>
            <w:tcW w:type="dxa" w:w="7452"/>
          </w:tcPr>
          <w:p>
            <w:pPr>
              <w:pStyle w:val="BodyText"/>
              <w:keepNext w:val="0"/>
              <w:spacing w:after="80" w:line="252" w:lineRule="auto"/>
              <w:jc w:val="left"/>
            </w:pPr>
            <w:r>
              <w:rPr>
                <w:rFonts w:ascii="Calibri" w:hAnsi="Calibri"/>
                <w:sz w:val="17"/>
              </w:rPr>
              <w:t xml:space="preserve">Bearer-indexed H attributes the mode to x; Q gives source-content without setting its mode equal to x’s. FS fixes the source’s existential mode. Indexing alone would not prove infinity in other q.</w:t>
            </w:r>
          </w:p>
        </w:tc>
      </w:tr>
      <w:tr>
        <w:tc>
          <w:tcPr>
            <w:tcW w:type="dxa" w:w="2484"/>
          </w:tcPr>
          <w:p>
            <w:pPr>
              <w:pStyle w:val="BodyText"/>
              <w:keepNext w:val="0"/>
              <w:spacing w:after="80" w:line="252" w:lineRule="auto"/>
              <w:jc w:val="left"/>
            </w:pPr>
            <w:r>
              <w:rPr>
                <w:rFonts w:ascii="Calibri" w:hAnsi="Calibri"/>
                <w:sz w:val="17"/>
              </w:rPr>
              <w:t xml:space="preserve">T13 Many effects without intrinsic source-multiplicity</w:t>
            </w:r>
          </w:p>
        </w:tc>
        <w:tc>
          <w:tcPr>
            <w:tcW w:type="dxa" w:w="7452"/>
          </w:tcPr>
          <w:p>
            <w:pPr>
              <w:pStyle w:val="BodyText"/>
              <w:keepNext w:val="0"/>
              <w:spacing w:after="80" w:line="252" w:lineRule="auto"/>
              <w:jc w:val="left"/>
            </w:pPr>
            <w:r>
              <w:rPr>
                <w:rFonts w:ascii="Calibri" w:hAnsi="Calibri"/>
                <w:sz w:val="17"/>
              </w:rPr>
              <w:t xml:space="preserve">KD/U exclude constituting source-parts; X permits different and multiple created effects with unchanged intrinsic source actuality. Many predicates or causal edges are not parts.</w:t>
            </w:r>
          </w:p>
        </w:tc>
      </w:tr>
      <w:tr>
        <w:tc>
          <w:tcPr>
            <w:tcW w:type="dxa" w:w="2484"/>
          </w:tcPr>
          <w:p>
            <w:pPr>
              <w:pStyle w:val="BodyText"/>
              <w:keepNext w:val="0"/>
              <w:spacing w:after="80" w:line="252" w:lineRule="auto"/>
              <w:jc w:val="left"/>
            </w:pPr>
            <w:r>
              <w:rPr>
                <w:rFonts w:ascii="Calibri" w:hAnsi="Calibri"/>
                <w:sz w:val="17"/>
              </w:rPr>
              <w:t xml:space="preserve">T14 Finite cannot exhaust unlimited unreceived source</w:t>
            </w:r>
          </w:p>
        </w:tc>
        <w:tc>
          <w:tcPr>
            <w:tcW w:type="dxa" w:w="7452"/>
          </w:tcPr>
          <w:p>
            <w:pPr>
              <w:pStyle w:val="BodyText"/>
              <w:keepNext w:val="0"/>
              <w:spacing w:after="80" w:line="252" w:lineRule="auto"/>
              <w:jc w:val="left"/>
            </w:pPr>
            <w:r>
              <w:rPr>
                <w:rFonts w:ascii="Calibri" w:hAnsi="Calibri"/>
                <w:sz w:val="17"/>
              </w:rPr>
              <w:t xml:space="preserve">FS/FC supply the existential inequality. In any q, the theorem is conditional on unlimited source/bounded receiver in q. U alone proves nothing about exhaustion.</w:t>
            </w:r>
          </w:p>
        </w:tc>
      </w:tr>
      <w:tr>
        <w:tc>
          <w:tcPr>
            <w:tcW w:type="dxa" w:w="2484"/>
          </w:tcPr>
          <w:p>
            <w:pPr>
              <w:pStyle w:val="BodyText"/>
              <w:keepNext w:val="0"/>
              <w:spacing w:after="80" w:line="252" w:lineRule="auto"/>
              <w:jc w:val="left"/>
            </w:pPr>
            <w:r>
              <w:rPr>
                <w:rFonts w:ascii="Calibri" w:hAnsi="Calibri"/>
                <w:sz w:val="17"/>
              </w:rPr>
              <w:t xml:space="preserve">T15 No particular finite expression necessitated by fullness</w:t>
            </w:r>
          </w:p>
        </w:tc>
        <w:tc>
          <w:tcPr>
            <w:tcW w:type="dxa" w:w="7452"/>
          </w:tcPr>
          <w:p>
            <w:pPr>
              <w:pStyle w:val="BodyText"/>
              <w:keepNext w:val="0"/>
              <w:spacing w:after="80" w:line="252" w:lineRule="auto"/>
              <w:jc w:val="left"/>
            </w:pPr>
            <w:r>
              <w:rPr>
                <w:rFonts w:ascii="Calibri" w:hAnsi="Calibri"/>
                <w:b/>
                <w:bCs/>
                <w:sz w:val="17"/>
              </w:rPr>
              <w:t xml:space="preserve">Not derivable.</w:t>
            </w:r>
            <w:r>
              <w:rPr>
                <w:rFonts w:ascii="Calibri" w:hAnsi="Calibri"/>
                <w:sz w:val="17"/>
              </w:rPr>
              <w:t xml:space="preserve"> </w:t>
            </w:r>
            <w:r>
              <w:rPr>
                <w:rFonts w:ascii="Calibri" w:hAnsi="Calibri"/>
                <w:sz w:val="17"/>
              </w:rPr>
              <w:t xml:space="preserve">Nonadequacy defeats one proposed ground of necessity, not all grounds of necessity.</w:t>
            </w:r>
          </w:p>
        </w:tc>
      </w:tr>
    </w:tbl>
    <w:p>
      <w:pPr>
        <w:pStyle w:val="BodyText"/>
      </w:pPr>
      <w:r>
        <w:t xml:space="preserve">For strong T3, add</w:t>
      </w:r>
      <w:r>
        <w:t xml:space="preserve"> </w:t>
      </w:r>
      <w:r>
        <w:rPr>
          <w:b/>
          <w:bCs/>
        </w:rPr>
        <w:t xml:space="preserve">N, a genus-constitution bridge</w:t>
      </w:r>
      <w:r>
        <w:t xml:space="preserve">: membership in a natural genus, as determined by a proper intrinsic differentiating principle, involves actual constitutive principles. A source with no such constituents cannot belong to a natural genus in that sense. This is a substantive essentialist account of genus, not pure logic. A common concept such as</w:t>
      </w:r>
      <w:r>
        <w:t xml:space="preserve"> </w:t>
      </w:r>
      <w:r>
        <w:t xml:space="preserve">“</w:t>
      </w:r>
      <w:r>
        <w:t xml:space="preserve">actual</w:t>
      </w:r>
      <w:r>
        <w:t xml:space="preserve">”</w:t>
      </w:r>
      <w:r>
        <w:t xml:space="preserve"> </w:t>
      </w:r>
      <w:r>
        <w:t xml:space="preserve">remains possible. The base does not rule out every univocal descriptive predicate.</w:t>
      </w:r>
    </w:p>
    <w:bookmarkEnd w:id="341"/>
    <w:bookmarkStart w:id="342" w:name="deletion-and-independence"/>
    <w:p>
      <w:pPr>
        <w:pStyle w:val="Heading3"/>
      </w:pPr>
      <w:r>
        <w:t xml:space="preserve">Deletion and independence</w:t>
      </w:r>
    </w:p>
    <w:p>
      <w:pPr>
        <w:pStyle w:val="FirstParagraph"/>
      </w:pPr>
      <w:r>
        <w:t xml:space="preserve">The following witnesses use</w:t>
      </w:r>
      <w:r>
        <w:t xml:space="preserve"> </w:t>
      </w:r>
      <w:r>
        <w:rPr>
          <w:rStyle w:val="VerbatimChar"/>
        </w:rPr>
        <w:t xml:space="preserve">s,a,b</w:t>
      </w:r>
      <w:r>
        <w:t xml:space="preserve">, empty constituency unless stated, and modes</w:t>
      </w:r>
      <w:r>
        <w:t xml:space="preserve"> </w:t>
      </w:r>
      <w:r>
        <w:rPr>
          <w:rStyle w:val="VerbatimChar"/>
        </w:rPr>
        <w:t xml:space="preserve">1,∞</w:t>
      </w:r>
      <w:r>
        <w:t xml:space="preserve">. Supply actuality and existential realizations at every present node. Use source mode</w:t>
      </w:r>
      <w:r>
        <w:t xml:space="preserve"> </w:t>
      </w:r>
      <w:r>
        <w:rPr>
          <w:rStyle w:val="VerbatimChar"/>
        </w:rPr>
        <w:t xml:space="preserve">∞</w:t>
      </w:r>
      <w:r>
        <w:t xml:space="preserve">, creature mode</w:t>
      </w:r>
      <w:r>
        <w:t xml:space="preserve"> </w:t>
      </w:r>
      <w:r>
        <w:rPr>
          <w:rStyle w:val="VerbatimChar"/>
        </w:rPr>
        <w:t xml:space="preserve">1</w:t>
      </w:r>
      <w:r>
        <w:t xml:space="preserve">, causation or sustaining causality for every creaturely realization, corresponding D-edges, and constant source J unless the deleted clause requires otherwise. Source-mode function and proper-constituency conditions remain respected.</w:t>
      </w:r>
    </w:p>
    <w:tbl>
      <w:tblPr>
        <w:tblStyle w:val="TableGrid"/>
        <w:tblW w:type="dxa" w:w="9936"/>
        <w:jc w:val="left"/>
        <w:tblLayout w:type="fixed"/>
        <w:tblLook w:firstRow="1" w:lastRow="0" w:firstColumn="0" w:lastColumn="0" w:noHBand="0" w:noVBand="0" w:val="0020"/>
      </w:tblPr>
      <w:tblGrid>
        <w:gridCol w:w="3312"/>
        <w:gridCol w:w="3312"/>
        <w:gridCol w:w="3312"/>
      </w:tblGrid>
      <w:tr>
        <w:trPr>
          <w:tblHeader w:val="true"/>
        </w:trPr>
        <w:tc>
          <w:tcPr>
            <w:tcW w:type="dxa" w:w="3312"/>
            <w:shd w:fill="EAE5DA"/>
          </w:tcPr>
          <w:p>
            <w:pPr>
              <w:pStyle w:val="BodyText"/>
              <w:keepNext w:val="0"/>
              <w:spacing w:after="80" w:line="252" w:lineRule="auto"/>
              <w:jc w:val="left"/>
            </w:pPr>
            <w:r>
              <w:rPr>
                <w:rFonts w:ascii="Calibri" w:hAnsi="Calibri"/>
                <w:b/>
                <w:sz w:val="17"/>
              </w:rPr>
              <w:t xml:space="preserve">Delete</w:t>
            </w:r>
          </w:p>
        </w:tc>
        <w:tc>
          <w:tcPr>
            <w:tcW w:type="dxa" w:w="3312"/>
            <w:shd w:fill="EAE5DA"/>
          </w:tcPr>
          <w:p>
            <w:pPr>
              <w:pStyle w:val="BodyText"/>
              <w:keepNext w:val="0"/>
              <w:spacing w:after="80" w:line="252" w:lineRule="auto"/>
              <w:jc w:val="left"/>
            </w:pPr>
            <w:r>
              <w:rPr>
                <w:rFonts w:ascii="Calibri" w:hAnsi="Calibri"/>
                <w:b/>
                <w:sz w:val="17"/>
              </w:rPr>
              <w:t xml:space="preserve">Model satisfying the remaining clauses</w:t>
            </w:r>
          </w:p>
        </w:tc>
        <w:tc>
          <w:tcPr>
            <w:tcW w:type="dxa" w:w="3312"/>
            <w:shd w:fill="EAE5DA"/>
          </w:tcPr>
          <w:p>
            <w:pPr>
              <w:pStyle w:val="BodyText"/>
              <w:keepNext w:val="0"/>
              <w:spacing w:after="80" w:line="252" w:lineRule="auto"/>
              <w:jc w:val="left"/>
            </w:pPr>
            <w:r>
              <w:rPr>
                <w:rFonts w:ascii="Calibri" w:hAnsi="Calibri"/>
                <w:b/>
                <w:sz w:val="17"/>
              </w:rPr>
              <w:t xml:space="preserve">Lost consequence</w:t>
            </w:r>
          </w:p>
        </w:tc>
      </w:tr>
      <w:tr>
        <w:tc>
          <w:tcPr>
            <w:tcW w:type="dxa" w:w="3312"/>
          </w:tcPr>
          <w:p>
            <w:pPr>
              <w:pStyle w:val="BodyText"/>
              <w:keepNext w:val="0"/>
              <w:spacing w:after="80" w:line="252" w:lineRule="auto"/>
              <w:jc w:val="left"/>
            </w:pPr>
            <w:r>
              <w:rPr>
                <w:rFonts w:ascii="Calibri" w:hAnsi="Calibri"/>
                <w:sz w:val="17"/>
              </w:rPr>
              <w:t xml:space="preserve">G</w:t>
            </w:r>
          </w:p>
        </w:tc>
        <w:tc>
          <w:tcPr>
            <w:tcW w:type="dxa" w:w="3312"/>
          </w:tcPr>
          <w:p>
            <w:pPr>
              <w:pStyle w:val="BodyText"/>
              <w:keepNext w:val="0"/>
              <w:spacing w:after="80" w:line="252" w:lineRule="auto"/>
              <w:jc w:val="left"/>
            </w:pPr>
            <w:r>
              <w:rPr>
                <w:rFonts w:ascii="Calibri" w:hAnsi="Calibri"/>
                <w:sz w:val="17"/>
              </w:rPr>
              <w:t xml:space="preserve">An actual finite a has no source-causal or D-edge.</w:t>
            </w:r>
          </w:p>
        </w:tc>
        <w:tc>
          <w:tcPr>
            <w:tcW w:type="dxa" w:w="3312"/>
          </w:tcPr>
          <w:p>
            <w:pPr>
              <w:pStyle w:val="BodyText"/>
              <w:keepNext w:val="0"/>
              <w:spacing w:after="80" w:line="252" w:lineRule="auto"/>
              <w:jc w:val="left"/>
            </w:pPr>
            <w:r>
              <w:rPr>
                <w:rFonts w:ascii="Calibri" w:hAnsi="Calibri"/>
                <w:sz w:val="17"/>
              </w:rPr>
              <w:t xml:space="preserve">Universal participation, causal intimacy, exclusion of independent actual sources.</w:t>
            </w:r>
          </w:p>
        </w:tc>
      </w:tr>
      <w:tr>
        <w:tc>
          <w:tcPr>
            <w:tcW w:type="dxa" w:w="3312"/>
          </w:tcPr>
          <w:p>
            <w:pPr>
              <w:pStyle w:val="BodyText"/>
              <w:keepNext w:val="0"/>
              <w:spacing w:after="80" w:line="252" w:lineRule="auto"/>
              <w:jc w:val="left"/>
            </w:pPr>
            <w:r>
              <w:rPr>
                <w:rFonts w:ascii="Calibri" w:hAnsi="Calibri"/>
                <w:sz w:val="17"/>
              </w:rPr>
              <w:t xml:space="preserve">CP</w:t>
            </w:r>
          </w:p>
        </w:tc>
        <w:tc>
          <w:tcPr>
            <w:tcW w:type="dxa" w:w="3312"/>
          </w:tcPr>
          <w:p>
            <w:pPr>
              <w:pStyle w:val="BodyText"/>
              <w:keepNext w:val="0"/>
              <w:spacing w:after="80" w:line="252" w:lineRule="auto"/>
              <w:jc w:val="left"/>
            </w:pPr>
            <w:r>
              <w:rPr>
                <w:rFonts w:ascii="Calibri" w:hAnsi="Calibri"/>
                <w:sz w:val="17"/>
              </w:rPr>
              <w:t xml:space="preserve">All source-causal edges remain; D is empty; K is empty.</w:t>
            </w:r>
          </w:p>
        </w:tc>
        <w:tc>
          <w:tcPr>
            <w:tcW w:type="dxa" w:w="3312"/>
          </w:tcPr>
          <w:p>
            <w:pPr>
              <w:pStyle w:val="BodyText"/>
              <w:keepNext w:val="0"/>
              <w:spacing w:after="80" w:line="252" w:lineRule="auto"/>
              <w:jc w:val="left"/>
            </w:pPr>
            <w:r>
              <w:rPr>
                <w:rFonts w:ascii="Calibri" w:hAnsi="Calibri"/>
                <w:sz w:val="17"/>
              </w:rPr>
              <w:t xml:space="preserve">Causality no longer establishes real ontological dependence.</w:t>
            </w:r>
          </w:p>
        </w:tc>
      </w:tr>
      <w:tr>
        <w:tc>
          <w:tcPr>
            <w:tcW w:type="dxa" w:w="3312"/>
          </w:tcPr>
          <w:p>
            <w:pPr>
              <w:pStyle w:val="BodyText"/>
              <w:keepNext w:val="0"/>
              <w:spacing w:after="80" w:line="252" w:lineRule="auto"/>
              <w:jc w:val="left"/>
            </w:pPr>
            <w:r>
              <w:rPr>
                <w:rFonts w:ascii="Calibri" w:hAnsi="Calibri"/>
                <w:sz w:val="17"/>
              </w:rPr>
              <w:t xml:space="preserve">U</w:t>
            </w:r>
          </w:p>
        </w:tc>
        <w:tc>
          <w:tcPr>
            <w:tcW w:type="dxa" w:w="3312"/>
          </w:tcPr>
          <w:p>
            <w:pPr>
              <w:pStyle w:val="BodyText"/>
              <w:keepNext w:val="0"/>
              <w:spacing w:after="80" w:line="252" w:lineRule="auto"/>
              <w:jc w:val="left"/>
            </w:pPr>
            <w:r>
              <w:rPr>
                <w:rFonts w:ascii="Calibri" w:hAnsi="Calibri"/>
                <w:sz w:val="17"/>
              </w:rPr>
              <w:t xml:space="preserve">Add</w:t>
            </w:r>
            <w:r>
              <w:rPr>
                <w:rFonts w:ascii="Calibri" w:hAnsi="Calibri"/>
                <w:sz w:val="17"/>
              </w:rPr>
              <w:t xml:space="preserve"> </w:t>
            </w:r>
            <w:r>
              <w:rPr>
                <w:rStyle w:val="VerbatimChar"/>
                <w:sz w:val="17"/>
              </w:rPr>
              <w:t xml:space="preserve">D(s,a,e)</w:t>
            </w:r>
            <w:r>
              <w:rPr>
                <w:rFonts w:ascii="Calibri" w:hAnsi="Calibri"/>
                <w:sz w:val="17"/>
              </w:rPr>
              <w:t xml:space="preserve"> </w:t>
            </w:r>
            <w:r>
              <w:rPr>
                <w:rFonts w:ascii="Calibri" w:hAnsi="Calibri"/>
                <w:sz w:val="17"/>
              </w:rPr>
              <w:t xml:space="preserve">and</w:t>
            </w:r>
            <w:r>
              <w:rPr>
                <w:rFonts w:ascii="Calibri" w:hAnsi="Calibri"/>
                <w:sz w:val="17"/>
              </w:rPr>
              <w:t xml:space="preserve"> </w:t>
            </w:r>
            <w:r>
              <w:rPr>
                <w:rStyle w:val="VerbatimChar"/>
                <w:sz w:val="17"/>
              </w:rPr>
              <w:t xml:space="preserve">K(a,s)</w:t>
            </w:r>
            <w:r>
              <w:rPr>
                <w:rFonts w:ascii="Calibri" w:hAnsi="Calibri"/>
                <w:sz w:val="17"/>
              </w:rPr>
              <w:t xml:space="preserve">; retain</w:t>
            </w:r>
            <w:r>
              <w:rPr>
                <w:rFonts w:ascii="Calibri" w:hAnsi="Calibri"/>
                <w:sz w:val="17"/>
              </w:rPr>
              <w:t xml:space="preserve"> </w:t>
            </w:r>
            <w:r>
              <w:rPr>
                <w:rStyle w:val="VerbatimChar"/>
                <w:sz w:val="17"/>
              </w:rPr>
              <w:t xml:space="preserve">D(a,s,e)</w:t>
            </w:r>
            <w:r>
              <w:rPr>
                <w:rFonts w:ascii="Calibri" w:hAnsi="Calibri"/>
                <w:sz w:val="17"/>
              </w:rPr>
              <w:t xml:space="preserve">. Capacity inheritance is</w:t>
            </w:r>
            <w:r>
              <w:rPr>
                <w:rFonts w:ascii="Calibri" w:hAnsi="Calibri"/>
                <w:sz w:val="17"/>
              </w:rPr>
              <w:t xml:space="preserve"> </w:t>
            </w:r>
            <w:r>
              <w:rPr>
                <w:rStyle w:val="VerbatimChar"/>
                <w:sz w:val="17"/>
              </w:rPr>
              <w:t xml:space="preserve">1≤∞</w:t>
            </w:r>
            <w:r>
              <w:rPr>
                <w:rFonts w:ascii="Calibri" w:hAnsi="Calibri"/>
                <w:sz w:val="17"/>
              </w:rPr>
              <w:t xml:space="preserve">.</w:t>
            </w:r>
          </w:p>
        </w:tc>
        <w:tc>
          <w:tcPr>
            <w:tcW w:type="dxa" w:w="3312"/>
          </w:tcPr>
          <w:p>
            <w:pPr>
              <w:pStyle w:val="BodyText"/>
              <w:keepNext w:val="0"/>
              <w:spacing w:after="80" w:line="252" w:lineRule="auto"/>
              <w:jc w:val="left"/>
            </w:pPr>
            <w:r>
              <w:rPr>
                <w:rFonts w:ascii="Calibri" w:hAnsi="Calibri"/>
                <w:sz w:val="17"/>
              </w:rPr>
              <w:t xml:space="preserve">Source is composed and reciprocal dependence/completion is permitted.</w:t>
            </w:r>
          </w:p>
        </w:tc>
      </w:tr>
      <w:tr>
        <w:tc>
          <w:tcPr>
            <w:tcW w:type="dxa" w:w="3312"/>
          </w:tcPr>
          <w:p>
            <w:pPr>
              <w:pStyle w:val="BodyText"/>
              <w:keepNext w:val="0"/>
              <w:spacing w:after="80" w:line="252" w:lineRule="auto"/>
              <w:jc w:val="left"/>
            </w:pPr>
            <w:r>
              <w:rPr>
                <w:rFonts w:ascii="Calibri" w:hAnsi="Calibri"/>
                <w:sz w:val="17"/>
              </w:rPr>
              <w:t xml:space="preserve">Q</w:t>
            </w:r>
          </w:p>
        </w:tc>
        <w:tc>
          <w:tcPr>
            <w:tcW w:type="dxa" w:w="3312"/>
          </w:tcPr>
          <w:p>
            <w:pPr>
              <w:pStyle w:val="BodyText"/>
              <w:keepNext w:val="0"/>
              <w:spacing w:after="80" w:line="252" w:lineRule="auto"/>
              <w:jc w:val="left"/>
            </w:pPr>
            <w:r>
              <w:rPr>
                <w:rFonts w:ascii="Calibri" w:hAnsi="Calibri"/>
                <w:sz w:val="17"/>
              </w:rPr>
              <w:t xml:space="preserve">Give a another positive q, source-cause that q, but give s only existential content e.</w:t>
            </w:r>
          </w:p>
        </w:tc>
        <w:tc>
          <w:tcPr>
            <w:tcW w:type="dxa" w:w="3312"/>
          </w:tcPr>
          <w:p>
            <w:pPr>
              <w:pStyle w:val="BodyText"/>
              <w:keepNext w:val="0"/>
              <w:spacing w:after="80" w:line="252" w:lineRule="auto"/>
              <w:jc w:val="left"/>
            </w:pPr>
            <w:r>
              <w:rPr>
                <w:rFonts w:ascii="Calibri" w:hAnsi="Calibri"/>
                <w:sz w:val="17"/>
              </w:rPr>
              <w:t xml:space="preserve">Causation no longer implies qualitative likeness.</w:t>
            </w:r>
          </w:p>
        </w:tc>
      </w:tr>
      <w:tr>
        <w:tc>
          <w:tcPr>
            <w:tcW w:type="dxa" w:w="3312"/>
          </w:tcPr>
          <w:p>
            <w:pPr>
              <w:pStyle w:val="BodyText"/>
              <w:keepNext w:val="0"/>
              <w:spacing w:after="80" w:line="252" w:lineRule="auto"/>
              <w:jc w:val="left"/>
            </w:pPr>
            <w:r>
              <w:rPr>
                <w:rFonts w:ascii="Calibri" w:hAnsi="Calibri"/>
                <w:sz w:val="17"/>
              </w:rPr>
              <w:t xml:space="preserve">KD</w:t>
            </w:r>
          </w:p>
        </w:tc>
        <w:tc>
          <w:tcPr>
            <w:tcW w:type="dxa" w:w="3312"/>
          </w:tcPr>
          <w:p>
            <w:pPr>
              <w:pStyle w:val="BodyText"/>
              <w:keepNext w:val="0"/>
              <w:spacing w:after="80" w:line="252" w:lineRule="auto"/>
              <w:jc w:val="left"/>
            </w:pPr>
            <w:r>
              <w:rPr>
                <w:rFonts w:ascii="Calibri" w:hAnsi="Calibri"/>
                <w:sz w:val="17"/>
              </w:rPr>
              <w:t xml:space="preserve">Add</w:t>
            </w:r>
            <w:r>
              <w:rPr>
                <w:rFonts w:ascii="Calibri" w:hAnsi="Calibri"/>
                <w:sz w:val="17"/>
              </w:rPr>
              <w:t xml:space="preserve"> </w:t>
            </w:r>
            <w:r>
              <w:rPr>
                <w:rStyle w:val="VerbatimChar"/>
                <w:sz w:val="17"/>
              </w:rPr>
              <w:t xml:space="preserve">K(a,s)</w:t>
            </w:r>
            <w:r>
              <w:rPr>
                <w:rFonts w:ascii="Calibri" w:hAnsi="Calibri"/>
                <w:sz w:val="17"/>
              </w:rPr>
              <w:t xml:space="preserve"> </w:t>
            </w:r>
            <w:r>
              <w:rPr>
                <w:rFonts w:ascii="Calibri" w:hAnsi="Calibri"/>
                <w:sz w:val="17"/>
              </w:rPr>
              <w:t xml:space="preserve">but no source-dependence. The capacity ordering still holds.</w:t>
            </w:r>
          </w:p>
        </w:tc>
        <w:tc>
          <w:tcPr>
            <w:tcW w:type="dxa" w:w="3312"/>
          </w:tcPr>
          <w:p>
            <w:pPr>
              <w:pStyle w:val="BodyText"/>
              <w:keepNext w:val="0"/>
              <w:spacing w:after="80" w:line="252" w:lineRule="auto"/>
              <w:jc w:val="left"/>
            </w:pPr>
            <w:r>
              <w:rPr>
                <w:rFonts w:ascii="Calibri" w:hAnsi="Calibri"/>
                <w:sz w:val="17"/>
              </w:rPr>
              <w:t xml:space="preserve">Underivation fails to establish simplicity/nonpartition.</w:t>
            </w:r>
          </w:p>
        </w:tc>
      </w:tr>
      <w:tr>
        <w:tc>
          <w:tcPr>
            <w:tcW w:type="dxa" w:w="3312"/>
          </w:tcPr>
          <w:p>
            <w:pPr>
              <w:pStyle w:val="BodyText"/>
              <w:keepNext w:val="0"/>
              <w:spacing w:after="80" w:line="252" w:lineRule="auto"/>
              <w:jc w:val="left"/>
            </w:pPr>
            <w:r>
              <w:rPr>
                <w:rFonts w:ascii="Calibri" w:hAnsi="Calibri"/>
                <w:sz w:val="17"/>
              </w:rPr>
              <w:t xml:space="preserve">KH</w:t>
            </w:r>
          </w:p>
        </w:tc>
        <w:tc>
          <w:tcPr>
            <w:tcW w:type="dxa" w:w="3312"/>
          </w:tcPr>
          <w:p>
            <w:pPr>
              <w:pStyle w:val="BodyText"/>
              <w:keepNext w:val="0"/>
              <w:spacing w:after="80" w:line="252" w:lineRule="auto"/>
              <w:jc w:val="left"/>
            </w:pPr>
            <w:r>
              <w:rPr>
                <w:rFonts w:ascii="Calibri" w:hAnsi="Calibri"/>
                <w:sz w:val="17"/>
              </w:rPr>
              <w:t xml:space="preserve">Add</w:t>
            </w:r>
            <w:r>
              <w:rPr>
                <w:rFonts w:ascii="Calibri" w:hAnsi="Calibri"/>
                <w:sz w:val="17"/>
              </w:rPr>
              <w:t xml:space="preserve"> </w:t>
            </w:r>
            <w:r>
              <w:rPr>
                <w:rStyle w:val="VerbatimChar"/>
                <w:sz w:val="17"/>
              </w:rPr>
              <w:t xml:space="preserve">K(s,a)</w:t>
            </w:r>
            <w:r>
              <w:rPr>
                <w:rFonts w:ascii="Calibri" w:hAnsi="Calibri"/>
                <w:sz w:val="17"/>
              </w:rPr>
              <w:t xml:space="preserve"> </w:t>
            </w:r>
            <w:r>
              <w:rPr>
                <w:rFonts w:ascii="Calibri" w:hAnsi="Calibri"/>
                <w:sz w:val="17"/>
              </w:rPr>
              <w:t xml:space="preserve">and its required</w:t>
            </w:r>
            <w:r>
              <w:rPr>
                <w:rFonts w:ascii="Calibri" w:hAnsi="Calibri"/>
                <w:sz w:val="17"/>
              </w:rPr>
              <w:t xml:space="preserve"> </w:t>
            </w:r>
            <w:r>
              <w:rPr>
                <w:rStyle w:val="VerbatimChar"/>
                <w:sz w:val="17"/>
              </w:rPr>
              <w:t xml:space="preserve">D(a,s,e)</w:t>
            </w:r>
            <w:r>
              <w:rPr>
                <w:rFonts w:ascii="Calibri" w:hAnsi="Calibri"/>
                <w:sz w:val="17"/>
              </w:rPr>
              <w:t xml:space="preserve">.</w:t>
            </w:r>
          </w:p>
        </w:tc>
        <w:tc>
          <w:tcPr>
            <w:tcW w:type="dxa" w:w="3312"/>
          </w:tcPr>
          <w:p>
            <w:pPr>
              <w:pStyle w:val="BodyText"/>
              <w:keepNext w:val="0"/>
              <w:spacing w:after="80" w:line="252" w:lineRule="auto"/>
              <w:jc w:val="left"/>
            </w:pPr>
            <w:r>
              <w:rPr>
                <w:rFonts w:ascii="Calibri" w:hAnsi="Calibri"/>
                <w:sz w:val="17"/>
              </w:rPr>
              <w:t xml:space="preserve">Unlimited source can be a constituent of a finite recipient.</w:t>
            </w:r>
          </w:p>
        </w:tc>
      </w:tr>
      <w:tr>
        <w:tc>
          <w:tcPr>
            <w:tcW w:type="dxa" w:w="3312"/>
          </w:tcPr>
          <w:p>
            <w:pPr>
              <w:pStyle w:val="BodyText"/>
              <w:keepNext w:val="0"/>
              <w:spacing w:after="80" w:line="252" w:lineRule="auto"/>
              <w:jc w:val="left"/>
            </w:pPr>
            <w:r>
              <w:rPr>
                <w:rFonts w:ascii="Calibri" w:hAnsi="Calibri"/>
                <w:sz w:val="17"/>
              </w:rPr>
              <w:t xml:space="preserve">FS</w:t>
            </w:r>
          </w:p>
        </w:tc>
        <w:tc>
          <w:tcPr>
            <w:tcW w:type="dxa" w:w="3312"/>
          </w:tcPr>
          <w:p>
            <w:pPr>
              <w:pStyle w:val="BodyText"/>
              <w:keepNext w:val="0"/>
              <w:spacing w:after="80" w:line="252" w:lineRule="auto"/>
              <w:jc w:val="left"/>
            </w:pPr>
            <w:r>
              <w:rPr>
                <w:rFonts w:ascii="Calibri" w:hAnsi="Calibri"/>
                <w:sz w:val="17"/>
              </w:rPr>
              <w:t xml:space="preserve">Make source and creature modes both</w:t>
            </w:r>
            <w:r>
              <w:rPr>
                <w:rFonts w:ascii="Calibri" w:hAnsi="Calibri"/>
                <w:sz w:val="17"/>
              </w:rPr>
              <w:t xml:space="preserve"> </w:t>
            </w:r>
            <w:r>
              <w:rPr>
                <w:rStyle w:val="VerbatimChar"/>
                <w:sz w:val="17"/>
              </w:rPr>
              <w:t xml:space="preserve">1</w:t>
            </w:r>
            <w:r>
              <w:rPr>
                <w:rFonts w:ascii="Calibri" w:hAnsi="Calibri"/>
                <w:sz w:val="17"/>
              </w:rPr>
              <w:t xml:space="preserve">; optionally add</w:t>
            </w:r>
            <w:r>
              <w:rPr>
                <w:rFonts w:ascii="Calibri" w:hAnsi="Calibri"/>
                <w:sz w:val="17"/>
              </w:rPr>
              <w:t xml:space="preserve"> </w:t>
            </w:r>
            <w:r>
              <w:rPr>
                <w:rStyle w:val="VerbatimChar"/>
                <w:sz w:val="17"/>
              </w:rPr>
              <w:t xml:space="preserve">K(s,a)</w:t>
            </w:r>
            <w:r>
              <w:rPr>
                <w:rFonts w:ascii="Calibri" w:hAnsi="Calibri"/>
                <w:sz w:val="17"/>
              </w:rPr>
              <w:t xml:space="preserve">.</w:t>
            </w:r>
          </w:p>
        </w:tc>
        <w:tc>
          <w:tcPr>
            <w:tcW w:type="dxa" w:w="3312"/>
          </w:tcPr>
          <w:p>
            <w:pPr>
              <w:pStyle w:val="BodyText"/>
              <w:keepNext w:val="0"/>
              <w:spacing w:after="80" w:line="252" w:lineRule="auto"/>
              <w:jc w:val="left"/>
            </w:pPr>
            <w:r>
              <w:rPr>
                <w:rFonts w:ascii="Calibri" w:hAnsi="Calibri"/>
                <w:sz w:val="17"/>
              </w:rPr>
              <w:t xml:space="preserve">Underivation does not imply infinity or nonexhaustion.</w:t>
            </w:r>
          </w:p>
        </w:tc>
      </w:tr>
      <w:tr>
        <w:tc>
          <w:tcPr>
            <w:tcW w:type="dxa" w:w="3312"/>
          </w:tcPr>
          <w:p>
            <w:pPr>
              <w:pStyle w:val="BodyText"/>
              <w:keepNext w:val="0"/>
              <w:spacing w:after="80" w:line="252" w:lineRule="auto"/>
              <w:jc w:val="left"/>
            </w:pPr>
            <w:r>
              <w:rPr>
                <w:rFonts w:ascii="Calibri" w:hAnsi="Calibri"/>
                <w:sz w:val="17"/>
              </w:rPr>
              <w:t xml:space="preserve">FC</w:t>
            </w:r>
          </w:p>
        </w:tc>
        <w:tc>
          <w:tcPr>
            <w:tcW w:type="dxa" w:w="3312"/>
          </w:tcPr>
          <w:p>
            <w:pPr>
              <w:pStyle w:val="BodyText"/>
              <w:keepNext w:val="0"/>
              <w:spacing w:after="80" w:line="252" w:lineRule="auto"/>
              <w:jc w:val="left"/>
            </w:pPr>
            <w:r>
              <w:rPr>
                <w:rFonts w:ascii="Calibri" w:hAnsi="Calibri"/>
                <w:sz w:val="17"/>
              </w:rPr>
              <w:t xml:space="preserve">Make a’s mode</w:t>
            </w:r>
            <w:r>
              <w:rPr>
                <w:rFonts w:ascii="Calibri" w:hAnsi="Calibri"/>
                <w:sz w:val="17"/>
              </w:rPr>
              <w:t xml:space="preserve"> </w:t>
            </w:r>
            <w:r>
              <w:rPr>
                <w:rStyle w:val="VerbatimChar"/>
                <w:sz w:val="17"/>
              </w:rPr>
              <w:t xml:space="preserve">∞</w:t>
            </w:r>
            <w:r>
              <w:rPr>
                <w:rFonts w:ascii="Calibri" w:hAnsi="Calibri"/>
                <w:sz w:val="17"/>
              </w:rPr>
              <w:t xml:space="preserve">, while a remains other than and dependent on s.</w:t>
            </w:r>
          </w:p>
        </w:tc>
        <w:tc>
          <w:tcPr>
            <w:tcW w:type="dxa" w:w="3312"/>
          </w:tcPr>
          <w:p>
            <w:pPr>
              <w:pStyle w:val="BodyText"/>
              <w:keepNext w:val="0"/>
              <w:spacing w:after="80" w:line="252" w:lineRule="auto"/>
              <w:jc w:val="left"/>
            </w:pPr>
            <w:r>
              <w:rPr>
                <w:rFonts w:ascii="Calibri" w:hAnsi="Calibri"/>
                <w:sz w:val="17"/>
              </w:rPr>
              <w:t xml:space="preserve">Source infinity does not imply every dependent expression is bounded.</w:t>
            </w:r>
          </w:p>
        </w:tc>
      </w:tr>
      <w:tr>
        <w:tc>
          <w:tcPr>
            <w:tcW w:type="dxa" w:w="3312"/>
          </w:tcPr>
          <w:p>
            <w:pPr>
              <w:pStyle w:val="BodyText"/>
              <w:keepNext w:val="0"/>
              <w:spacing w:after="80" w:line="252" w:lineRule="auto"/>
              <w:jc w:val="left"/>
            </w:pPr>
            <w:r>
              <w:rPr>
                <w:rFonts w:ascii="Calibri" w:hAnsi="Calibri"/>
                <w:sz w:val="17"/>
              </w:rPr>
              <w:t xml:space="preserve">X</w:t>
            </w:r>
          </w:p>
        </w:tc>
        <w:tc>
          <w:tcPr>
            <w:tcW w:type="dxa" w:w="3312"/>
          </w:tcPr>
          <w:p>
            <w:pPr>
              <w:pStyle w:val="BodyText"/>
              <w:keepNext w:val="0"/>
              <w:spacing w:after="80" w:line="252" w:lineRule="auto"/>
              <w:jc w:val="left"/>
            </w:pPr>
            <w:r>
              <w:rPr>
                <w:rFonts w:ascii="Calibri" w:hAnsi="Calibri"/>
                <w:sz w:val="17"/>
              </w:rPr>
              <w:t xml:space="preserve">In two situations, s alone and s with a, retain all local clauses but give s an additional intrinsic positive r-realization only in the second situation, and let</w:t>
            </w:r>
            <w:r>
              <w:rPr>
                <w:rFonts w:ascii="Calibri" w:hAnsi="Calibri"/>
                <w:sz w:val="17"/>
              </w:rPr>
              <w:t xml:space="preserve"> </w:t>
            </w:r>
            <w:r>
              <w:rPr>
                <w:rStyle w:val="VerbatimChar"/>
                <w:sz w:val="17"/>
              </w:rPr>
              <w:t xml:space="preserve">J(s)</w:t>
            </w:r>
            <w:r>
              <w:rPr>
                <w:rFonts w:ascii="Calibri" w:hAnsi="Calibri"/>
                <w:sz w:val="17"/>
              </w:rPr>
              <w:t xml:space="preserve"> </w:t>
            </w:r>
            <w:r>
              <w:rPr>
                <w:rFonts w:ascii="Calibri" w:hAnsi="Calibri"/>
                <w:sz w:val="17"/>
              </w:rPr>
              <w:t xml:space="preserve">record it.</w:t>
            </w:r>
          </w:p>
        </w:tc>
        <w:tc>
          <w:tcPr>
            <w:tcW w:type="dxa" w:w="3312"/>
          </w:tcPr>
          <w:p>
            <w:pPr>
              <w:pStyle w:val="BodyText"/>
              <w:keepNext w:val="0"/>
              <w:spacing w:after="80" w:line="252" w:lineRule="auto"/>
              <w:jc w:val="left"/>
            </w:pPr>
            <w:r>
              <w:rPr>
                <w:rFonts w:ascii="Calibri" w:hAnsi="Calibri"/>
                <w:sz w:val="17"/>
              </w:rPr>
              <w:t xml:space="preserve">Static simplicity/underivation do not settle intrinsic invariance under differing effects.</w:t>
            </w:r>
          </w:p>
        </w:tc>
      </w:tr>
    </w:tbl>
    <w:p>
      <w:pPr>
        <w:pStyle w:val="BodyText"/>
      </w:pPr>
      <w:r>
        <w:t xml:space="preserve">These witnesses establish clause independence in the chosen sparse semantics. They do not establish historical endorsement, full theological satisfiability, or minimality across alternative signatures. They also expose why neither nonpartition nor likeness should be assumed in the definition of</w:t>
      </w:r>
      <w:r>
        <w:t xml:space="preserve"> </w:t>
      </w:r>
      <w:r>
        <w:t xml:space="preserve">“</w:t>
      </w:r>
      <w:r>
        <w:t xml:space="preserve">communication.</w:t>
      </w:r>
      <w:r>
        <w:t xml:space="preserve">”</w:t>
      </w:r>
    </w:p>
    <w:p>
      <w:pPr>
        <w:pStyle w:val="BodyText"/>
      </w:pPr>
      <w:r>
        <w:t xml:space="preserve">Primitive deletion has corresponding failures. Without H, identical causal graphs can represent resemblance or unrelated qualities. Without K, the graph cannot distinguish incorporation from external production. Without D, production and constitution have no explicitly represented grounding status. Without C, the model cannot distinguish efficient production from constitutive or merely logical dependence. Without ordered modes, the same qualitative graph admits equal, limited, or unlimited realizations. Without J/world indexing, modal claims about the full intrinsic profile are inexpressible unless H/K have first been made exhaustive. A has already been removed by explicit definition; actuality remains primitive in the meaning of H rather than independently duplicated.</w:t>
      </w:r>
    </w:p>
    <w:bookmarkEnd w:id="342"/>
    <w:bookmarkStart w:id="343" w:name="rival-ontologies-and-freedom"/>
    <w:p>
      <w:pPr>
        <w:pStyle w:val="Heading3"/>
      </w:pPr>
      <w:r>
        <w:t xml:space="preserve">Rival ontologies and freedom</w:t>
      </w:r>
    </w:p>
    <w:p>
      <w:pPr>
        <w:pStyle w:val="FirstParagraph"/>
      </w:pPr>
      <w:r>
        <w:t xml:space="preserve">The base excludes a divine substance partition and independent actual productive Forms. It also excludes a deism that denies present existential sustaining causality. A temporally initial but continuously sustaining Creator is compatible. It does not exclude all views called panentheism: a relational use of</w:t>
      </w:r>
      <w:r>
        <w:t xml:space="preserve"> </w:t>
      </w:r>
      <w:r>
        <w:t xml:space="preserve">“</w:t>
      </w:r>
      <w:r>
        <w:t xml:space="preserve">in God</w:t>
      </w:r>
      <w:r>
        <w:t xml:space="preserve">”</w:t>
      </w:r>
      <w:r>
        <w:t xml:space="preserve"> </w:t>
      </w:r>
      <w:r>
        <w:t xml:space="preserve">may satisfy the theory, while world-as-divine-constituent does not.</w:t>
      </w:r>
    </w:p>
    <w:p>
      <w:pPr>
        <w:pStyle w:val="BodyText"/>
      </w:pPr>
      <w:r>
        <w:rPr>
          <w:b/>
          <w:bCs/>
        </w:rPr>
        <w:t xml:space="preserve">Occasionalism remains compatible.</w:t>
      </w:r>
      <w:r>
        <w:t xml:space="preserve"> </w:t>
      </w:r>
      <w:r>
        <w:t xml:space="preserve">Actual secondary agency requires the further existential commitment that some created b productively causes a in a relevant respect. Add</w:t>
      </w:r>
      <w:r>
        <w:t xml:space="preserve"> </w:t>
      </w:r>
      <w:r>
        <w:rPr>
          <w:rStyle w:val="VerbatimChar"/>
        </w:rPr>
        <w:t xml:space="preserve">C(b,a,q)</w:t>
      </w:r>
      <w:r>
        <w:t xml:space="preserve"> </w:t>
      </w:r>
      <w:r>
        <w:t xml:space="preserve">alongside</w:t>
      </w:r>
      <w:r>
        <w:t xml:space="preserve"> </w:t>
      </w:r>
      <w:r>
        <w:rPr>
          <w:rStyle w:val="VerbatimChar"/>
        </w:rPr>
        <w:t xml:space="preserve">C(s,a,q)</w:t>
      </w:r>
      <w:r>
        <w:t xml:space="preserve">; the base has no exclusive-cause rule and both can hold. This establishes compatibility with noncompetitive causality. A full account of secondary causal powers needs further theory.</w:t>
      </w:r>
    </w:p>
    <w:p>
      <w:pPr>
        <w:pStyle w:val="BodyText"/>
      </w:pPr>
      <w:r>
        <w:rPr>
          <w:b/>
          <w:bCs/>
        </w:rPr>
        <w:t xml:space="preserve">Necessary emanation also remains compatible.</w:t>
      </w:r>
      <w:r>
        <w:t xml:space="preserve"> </w:t>
      </w:r>
      <w:r>
        <w:t xml:space="preserve">Every admitted situation can contain exactly the same created a, despite its failure to exhaust s. Nothing in the base says that an effect must equal its source to be necessary. Purely immanent causal theories are excluded only by the substantive U/FS assumptions about the source, not by causal syntax alone. An idealism preserving genuine created otherness and the specified relations is not excluded merely by its label.</w:t>
      </w:r>
    </w:p>
    <w:p>
      <w:pPr>
        <w:pStyle w:val="BodyText"/>
      </w:pPr>
      <w:r>
        <w:t xml:space="preserve">For T15 distinguish three extra steps:</w:t>
      </w:r>
    </w:p>
    <w:p>
      <w:pPr>
        <w:pStyle w:val="Compact"/>
        <w:numPr>
          <w:ilvl w:val="0"/>
          <w:numId w:val="1010"/>
        </w:numPr>
      </w:pPr>
      <w:r>
        <w:rPr>
          <w:b/>
          <w:bCs/>
        </w:rPr>
        <w:t xml:space="preserve">Modal alternatives:</w:t>
      </w:r>
      <w:r>
        <w:t xml:space="preserve"> </w:t>
      </w:r>
      <w:r>
        <w:t xml:space="preserve">the relevant effect is absent in some admitted situation with the same source intrinsic fullness. This establishes contingency of that effect, not freedom. To assert that no particular finite expression is necessary, provide an effectwise alternative for every such expression, or one admitted no-creation situation with the same intrinsic source actuality. Merely varying some other creature would not suffice.</w:t>
      </w:r>
    </w:p>
    <w:p>
      <w:pPr>
        <w:pStyle w:val="Compact"/>
        <w:numPr>
          <w:ilvl w:val="0"/>
          <w:numId w:val="1010"/>
        </w:numPr>
      </w:pPr>
      <w:r>
        <w:rPr>
          <w:b/>
          <w:bCs/>
        </w:rPr>
        <w:t xml:space="preserve">Intentional agency:</w:t>
      </w:r>
      <w:r>
        <w:t xml:space="preserve"> </w:t>
      </w:r>
      <w:r>
        <w:t xml:space="preserve">the source understands alternative possible creations and acts through volition. This establishes agency, not by itself freedom from necessitation.</w:t>
      </w:r>
    </w:p>
    <w:p>
      <w:pPr>
        <w:pStyle w:val="Compact"/>
        <w:numPr>
          <w:ilvl w:val="0"/>
          <w:numId w:val="1010"/>
        </w:numPr>
      </w:pPr>
      <w:r>
        <w:rPr>
          <w:b/>
          <w:bCs/>
        </w:rPr>
        <w:t xml:space="preserve">Absence of a necessitating rule:</w:t>
      </w:r>
      <w:r>
        <w:t xml:space="preserve"> </w:t>
      </w:r>
      <w:r>
        <w:t xml:space="preserve">neither intrinsic nature, external dependence, nor a unique-maximization constraint necessitates that effect. Specify the intended account of freedom; do not assume that</w:t>
      </w:r>
      <w:r>
        <w:t xml:space="preserve"> </w:t>
      </w:r>
      <w:r>
        <w:t xml:space="preserve">“</w:t>
      </w:r>
      <w:r>
        <w:t xml:space="preserve">will</w:t>
      </w:r>
      <w:r>
        <w:t xml:space="preserve">”</w:t>
      </w:r>
      <w:r>
        <w:t xml:space="preserve"> </w:t>
      </w:r>
      <w:r>
        <w:t xml:space="preserve">entails libertarian choice.</w:t>
      </w:r>
    </w:p>
    <w:p>
      <w:pPr>
        <w:pStyle w:val="FirstParagraph"/>
      </w:pPr>
      <w:r>
        <w:t xml:space="preserve">X is compatible with one situation and so cannot supply step 1. Identical intrinsic fullness across different situations need not mean identical intentional content. Distinguishing intrinsic act from object-relative determination is a proposed modeling resource, not an already demonstrated solution to divine freedom. It does not independently settle the truthmaking objection: what makes the source will this creation rather than another? Nor does formally stipulating intrinsic invariance answer the modal collapse objection that the necessity of God’s act makes creation necessary.</w:t>
      </w:r>
    </w:p>
    <w:bookmarkEnd w:id="343"/>
    <w:bookmarkStart w:id="344" w:name="where-explanation-finally-stops"/>
    <w:p>
      <w:pPr>
        <w:pStyle w:val="Heading3"/>
      </w:pPr>
      <w:r>
        <w:t xml:space="preserve">Where Explanation Finally Stops</w:t>
      </w:r>
    </w:p>
    <w:p>
      <w:pPr>
        <w:pStyle w:val="FirstParagraph"/>
      </w:pPr>
      <w:r>
        <w:t xml:space="preserve">The reconstruction is conceptually relational but ontologically asymmetric. One may learn</w:t>
      </w:r>
      <w:r>
        <w:t xml:space="preserve"> </w:t>
      </w:r>
      <w:r>
        <w:t xml:space="preserve">“</w:t>
      </w:r>
      <w:r>
        <w:t xml:space="preserve">source</w:t>
      </w:r>
      <w:r>
        <w:t xml:space="preserve">”</w:t>
      </w:r>
      <w:r>
        <w:t xml:space="preserve"> </w:t>
      </w:r>
      <w:r>
        <w:t xml:space="preserve">by reflecting on effects, while the source is not thereby caused or constituted by those effects. Epistemic ascent is not reverse ontological dependence.</w:t>
      </w:r>
    </w:p>
    <w:p>
      <w:pPr>
        <w:pStyle w:val="BodyText"/>
      </w:pPr>
      <w:r>
        <w:t xml:space="preserve">There is no definitional cycle: Rec uses C and H; P uses Rec and D; L uses H; E uses P and L; U uses D. None returns to P. Explanatory recursion occurs when created realization clarifies how we use</w:t>
      </w:r>
      <w:r>
        <w:t xml:space="preserve"> </w:t>
      </w:r>
      <w:r>
        <w:t xml:space="preserve">“</w:t>
      </w:r>
      <w:r>
        <w:t xml:space="preserve">actuality,</w:t>
      </w:r>
      <w:r>
        <w:t xml:space="preserve">”</w:t>
      </w:r>
      <w:r>
        <w:t xml:space="preserve"> </w:t>
      </w:r>
      <w:r>
        <w:t xml:space="preserve">while actuality is needed to describe realization. That mutual articulation can be benign, but it is not a proof of the bridges. A network of constraints replaces a verbal circle only if the relations retain independently assessable meanings.</w:t>
      </w:r>
    </w:p>
    <w:p>
      <w:pPr>
        <w:pStyle w:val="BodyText"/>
      </w:pPr>
      <w:r>
        <w:t xml:space="preserve">Explanation finally stops at actual positive realization, productive and constitutive dependence, qualitative content, and mode, together with the substantive assumptions about the source.</w:t>
      </w:r>
      <w:r>
        <w:t xml:space="preserve"> </w:t>
      </w:r>
      <w:r>
        <w:t xml:space="preserve">“</w:t>
      </w:r>
      <w:r>
        <w:t xml:space="preserve">Unreceived actuality</w:t>
      </w:r>
      <w:r>
        <w:t xml:space="preserve">”</w:t>
      </w:r>
      <w:r>
        <w:t xml:space="preserve"> </w:t>
      </w:r>
      <w:r>
        <w:t xml:space="preserve">is actuality without receipt; it does not explain why actuality exists. Calling God</w:t>
      </w:r>
      <w:r>
        <w:t xml:space="preserve"> </w:t>
      </w:r>
      <w:r>
        <w:t xml:space="preserve">“</w:t>
      </w:r>
      <w:r>
        <w:t xml:space="preserve">actuality itself</w:t>
      </w:r>
      <w:r>
        <w:t xml:space="preserve">”</w:t>
      </w:r>
      <w:r>
        <w:t xml:space="preserve"> </w:t>
      </w:r>
      <w:r>
        <w:t xml:space="preserve">cannot substitute for an argument that an underived source exists or possesses the proposed profile. The stopping point is therefore primitive actuality</w:t>
      </w:r>
      <w:r>
        <w:t xml:space="preserve"> </w:t>
      </w:r>
      <w:r>
        <w:rPr>
          <w:b/>
          <w:bCs/>
        </w:rPr>
        <w:t xml:space="preserve">and independent bridges</w:t>
      </w:r>
      <w:r>
        <w:t xml:space="preserve">, not actuality alone.</w:t>
      </w:r>
    </w:p>
    <w:p>
      <w:pPr>
        <w:pStyle w:val="BodyText"/>
      </w:pPr>
      <w:r>
        <w:t xml:space="preserve">In ordinary English: every created positive actuality is presently caused by an underived source; it truly resembles that source, but in its own bounded mode. Constitutive parts would make the source dependent, while an unlimited source cannot be contained as a constituent within bounded actuality. Different finite expressions need not alter the source’s intrinsic fullness. Actual freedom requires a further account of alternatives and willing.</w:t>
      </w:r>
    </w:p>
    <w:p>
      <w:pPr>
        <w:pStyle w:val="BodyText"/>
      </w:pPr>
      <w:r>
        <w:t xml:space="preserve">The compact formal statement, conditional on actual s, is:</w:t>
      </w:r>
    </w:p>
    <w:p>
      <w:pPr>
        <w:pStyle w:val="SourceCode"/>
      </w:pPr>
      <w:r>
        <w:rPr>
          <w:rStyle w:val="VerbatimChar"/>
        </w:rPr>
        <w:t xml:space="preserve">x≠s ∧ H(x,q,m) ⇒ C(s,x,q) ⇒ D(x,s,q),       ¬D(s,y,r)</w:t>
      </w:r>
      <w:r>
        <w:br/>
      </w:r>
      <w:r>
        <w:rPr>
          <w:rStyle w:val="VerbatimChar"/>
        </w:rPr>
        <w:t xml:space="preserve">C(s,x,q) ∧ H(x,q,m) ⇒ ∃n H(s,q,n)</w:t>
      </w:r>
      <w:r>
        <w:br/>
      </w:r>
      <w:r>
        <w:rPr>
          <w:rStyle w:val="VerbatimChar"/>
        </w:rPr>
        <w:t xml:space="preserve">K(z,y) ⇒ D(y,z,e),                         K(z,y) ⇒ m_z,e ≤ m_y,e</w:t>
      </w:r>
      <w:r>
        <w:br/>
      </w:r>
      <w:r>
        <w:rPr>
          <w:rStyle w:val="VerbatimChar"/>
        </w:rPr>
        <w:t xml:space="preserve">H(s,e,∞);                                x≠s ∧ H(x,e,m) ⇒ m&lt;∞</w:t>
      </w:r>
      <w:r>
        <w:br/>
      </w:r>
      <w:r>
        <w:rPr>
          <w:rStyle w:val="VerbatimChar"/>
        </w:rPr>
        <w:t xml:space="preserve">Δ created effects ⇏ ΔJ(s)             [X: J(s) invariant]</w:t>
      </w:r>
      <w:r>
        <w:br/>
      </w:r>
      <w:r>
        <w:rPr>
          <w:rStyle w:val="VerbatimChar"/>
        </w:rPr>
        <w:t xml:space="preserve">P(x,s,q) := C(s,x,q) ∧ D(x,s,q) ∧ ∃m H(x,q,m).</w:t>
      </w:r>
      <w:r>
        <w:br/>
      </w:r>
      <w:r>
        <w:rPr>
          <w:rStyle w:val="VerbatimChar"/>
        </w:rPr>
        <w:t xml:space="preserve">E(x,s,q) := P(x,s,q) ∧ L(x,s,q);            P(x,s,q) ⇒ L(x,s,q) by Q.</w:t>
      </w:r>
    </w:p>
    <w:p>
      <w:pPr>
        <w:pStyle w:val="FirstParagraph"/>
      </w:pPr>
      <w:r>
        <w:t xml:space="preserve">The displayed implications abbreviate nine independent clauses; the</w:t>
      </w:r>
      <w:r>
        <w:t xml:space="preserve"> </w:t>
      </w:r>
      <w:r>
        <w:rPr>
          <w:rStyle w:val="VerbatimChar"/>
        </w:rPr>
        <w:t xml:space="preserve">⇏</w:t>
      </w:r>
      <w:r>
        <w:t xml:space="preserve"> </w:t>
      </w:r>
      <w:r>
        <w:t xml:space="preserve">line is explanatory shorthand for the explicit invariance axiom, not a material implication or a proof of modal alternatives.</w:t>
      </w:r>
    </w:p>
    <w:bookmarkEnd w:id="344"/>
    <w:bookmarkEnd w:id="345"/>
    <w:p>
      <w:pPr>
        <w:pStyle w:val="Heading1"/>
      </w:pPr>
      <w:r>
        <w:t xml:space="preserve">Appendix C — ancient-patristic.md</w:t>
      </w:r>
    </w:p>
    <w:p>
      <w:pPr>
        <w:pStyle w:val="FirstParagraph"/>
      </w:pPr>
      <w:r>
        <w:t xml:space="preserve">Original research file: https:/​/​participation-​6o4.​pages.​dev/​research/​ancient-​patristic.​md</w:t>
      </w:r>
    </w:p>
    <w:bookmarkStart w:id="355" w:name="X2c20c276c9cf0912a5c95d2aa697faa29aa8227"/>
    <w:p>
      <w:pPr>
        <w:pStyle w:val="Heading2"/>
      </w:pPr>
      <w:r>
        <w:t xml:space="preserve">Ancient and patristic sources: resources, limits, and structural tests</w:t>
      </w:r>
    </w:p>
    <w:p>
      <w:pPr>
        <w:pStyle w:val="FirstParagraph"/>
      </w:pPr>
      <w:r>
        <w:t xml:space="preserve">These notes distinguish</w:t>
      </w:r>
      <w:r>
        <w:t xml:space="preserve"> </w:t>
      </w:r>
      <w:r>
        <w:rPr>
          <w:b/>
          <w:bCs/>
        </w:rPr>
        <w:t xml:space="preserve">explicit textual claims</w:t>
      </w:r>
      <w:r>
        <w:t xml:space="preserve">,</w:t>
      </w:r>
      <w:r>
        <w:t xml:space="preserve"> </w:t>
      </w:r>
      <w:r>
        <w:rPr>
          <w:b/>
          <w:bCs/>
        </w:rPr>
        <w:t xml:space="preserve">reconstructions</w:t>
      </w:r>
      <w:r>
        <w:t xml:space="preserve">, and</w:t>
      </w:r>
      <w:r>
        <w:t xml:space="preserve"> </w:t>
      </w:r>
      <w:r>
        <w:rPr>
          <w:b/>
          <w:bCs/>
        </w:rPr>
        <w:t xml:space="preserve">new constructive uses</w:t>
      </w:r>
      <w:r>
        <w:t xml:space="preserve">. A text can witness a principle without proving its independence or licensing every later application. Network access to the original publishers was blocked by the environment proxy; the public GitHub mirrors below were actually retrieved and read. No blocked publisher page is represented as consulted.</w:t>
      </w:r>
    </w:p>
    <w:bookmarkStart w:id="346" w:name="Xf6fc3a8ef84089328aeeeaf1072466b02dfadad"/>
    <w:p>
      <w:pPr>
        <w:pStyle w:val="Heading3"/>
      </w:pPr>
      <w:r>
        <w:t xml:space="preserve">Results that matter for the proposed minimum</w:t>
      </w:r>
    </w:p>
    <w:p>
      <w:pPr>
        <w:pStyle w:val="Compact"/>
        <w:numPr>
          <w:ilvl w:val="0"/>
          <w:numId w:val="1011"/>
        </w:numPr>
      </w:pPr>
      <w:r>
        <w:rPr>
          <w:b/>
          <w:bCs/>
        </w:rPr>
        <w:t xml:space="preserve">Actuality, dependence, and measure do not alone yield likeness.</w:t>
      </w:r>
      <w:r>
        <w:t xml:space="preserve"> </w:t>
      </w:r>
      <w:r>
        <w:t xml:space="preserve">An ontological dependence relation need not preserve a perfection or an intelligible structure. Aristotle’s objection to speaking of patterns and participation without specifying what produces their instances is an especially useful historical warning. A principle connecting causation with likeness must do real work; it cannot be hidden in the definition of dependence.</w:t>
      </w:r>
    </w:p>
    <w:p>
      <w:pPr>
        <w:pStyle w:val="Compact"/>
        <w:numPr>
          <w:ilvl w:val="0"/>
          <w:numId w:val="1011"/>
        </w:numPr>
      </w:pPr>
      <w:r>
        <w:rPr>
          <w:b/>
          <w:bCs/>
        </w:rPr>
        <w:t xml:space="preserve">Non-partition and non-reception are different.</w:t>
      </w:r>
      <w:r>
        <w:t xml:space="preserve"> </w:t>
      </w:r>
      <w:r>
        <w:t xml:space="preserve">An underived thing could, without an additional restriction, have parts and surrender one of them. Conversely a finite teacher can communicate knowledge without partition but still acquire knowledge. Neither asymmetry nor generic communication establishes absolute simplicity.</w:t>
      </w:r>
    </w:p>
    <w:p>
      <w:pPr>
        <w:pStyle w:val="Compact"/>
        <w:numPr>
          <w:ilvl w:val="0"/>
          <w:numId w:val="1011"/>
        </w:numPr>
      </w:pPr>
      <w:r>
        <w:rPr>
          <w:b/>
          <w:bCs/>
        </w:rPr>
        <w:t xml:space="preserve">Non-exhaustion is source-specific.</w:t>
      </w:r>
      <w:r>
        <w:t xml:space="preserve"> </w:t>
      </w:r>
      <w:r>
        <w:t xml:space="preserve">A finite participation does not exhaust an infinite source, but not every participation has an infinite source. Infinity requires a separate commitment or a further argument. Gregory’s inexhaustible divine good is not a definition of participation as such.</w:t>
      </w:r>
    </w:p>
    <w:p>
      <w:pPr>
        <w:pStyle w:val="Compact"/>
        <w:numPr>
          <w:ilvl w:val="0"/>
          <w:numId w:val="1011"/>
        </w:numPr>
      </w:pPr>
      <w:r>
        <w:rPr>
          <w:b/>
          <w:bCs/>
        </w:rPr>
        <w:t xml:space="preserve">Non-exhaustion does not prove contingency.</w:t>
      </w:r>
      <w:r>
        <w:t xml:space="preserve"> </w:t>
      </w:r>
      <w:r>
        <w:t xml:space="preserve">An eternally necessary finite effect can remain strictly inferior to, and unable to complete, its source. The Neoplatonic field supplies the relevant countermodel. Augustine preserves unchangeable divine actuality while assigning creation to will; that is an additional discrimination, not a theorem of non-exhaustion.</w:t>
      </w:r>
    </w:p>
    <w:p>
      <w:pPr>
        <w:pStyle w:val="Compact"/>
        <w:numPr>
          <w:ilvl w:val="0"/>
          <w:numId w:val="1011"/>
        </w:numPr>
      </w:pPr>
      <w:r>
        <w:rPr>
          <w:b/>
          <w:bCs/>
        </w:rPr>
        <w:t xml:space="preserve">No common genus is not no shared description.</w:t>
      </w:r>
      <w:r>
        <w:t xml:space="preserve"> </w:t>
      </w:r>
      <w:r>
        <w:t xml:space="preserve">The relevant exclusion concerns a common constitutive nature differentiated into Creator and creature, not the impossibility of quantifying over both or applying a formal predicate to both. The latter would make the reconstruction itself impossible.</w:t>
      </w:r>
    </w:p>
    <w:p>
      <w:pPr>
        <w:pStyle w:val="Compact"/>
        <w:numPr>
          <w:ilvl w:val="0"/>
          <w:numId w:val="1011"/>
        </w:numPr>
      </w:pPr>
      <w:r>
        <w:rPr>
          <w:b/>
          <w:bCs/>
        </w:rPr>
        <w:t xml:space="preserve">Sustaining dependence needs specification.</w:t>
      </w:r>
      <w:r>
        <w:t xml:space="preserve"> </w:t>
      </w:r>
      <w:r>
        <w:t xml:space="preserve">Being initially produced does not establish present causal intimacy. Plotinus and Augustine offer resources for present dependence, but a deist model cannot be excluded by an unspecified production relation.</w:t>
      </w:r>
    </w:p>
    <w:bookmarkEnd w:id="346"/>
    <w:bookmarkStart w:id="347" w:name="X16e25c860beb52d6405f2abdc49c6ed0fbdf70d"/>
    <w:p>
      <w:pPr>
        <w:pStyle w:val="Heading3"/>
      </w:pPr>
      <w:r>
        <w:t xml:space="preserve">Plato: participation poses the problem rather than solves it</w:t>
      </w:r>
    </w:p>
    <w:p>
      <w:pPr>
        <w:pStyle w:val="FirstParagraph"/>
      </w:pPr>
      <w:r>
        <w:rPr>
          <w:b/>
          <w:bCs/>
        </w:rPr>
        <w:t xml:space="preserve">Primary loci consulted:</w:t>
      </w:r>
      <w:r>
        <w:t xml:space="preserve"> </w:t>
      </w:r>
      <w:r>
        <w:rPr>
          <w:i/>
          <w:iCs/>
        </w:rPr>
        <w:t xml:space="preserve">Parmenides</w:t>
      </w:r>
      <w:r>
        <w:t xml:space="preserve"> </w:t>
      </w:r>
      <w:r>
        <w:t xml:space="preserve">130e–131e and 132d–133a;</w:t>
      </w:r>
      <w:r>
        <w:t xml:space="preserve"> </w:t>
      </w:r>
      <w:r>
        <w:rPr>
          <w:i/>
          <w:iCs/>
        </w:rPr>
        <w:t xml:space="preserve">Republic</w:t>
      </w:r>
      <w:r>
        <w:t xml:space="preserve"> </w:t>
      </w:r>
      <w:r>
        <w:t xml:space="preserve">VI, 509b;</w:t>
      </w:r>
      <w:r>
        <w:t xml:space="preserve"> </w:t>
      </w:r>
      <w:r>
        <w:rPr>
          <w:i/>
          <w:iCs/>
        </w:rPr>
        <w:t xml:space="preserve">Timaeus</w:t>
      </w:r>
      <w:r>
        <w:t xml:space="preserve"> </w:t>
      </w:r>
      <w:r>
        <w:t xml:space="preserve">28a–29e. The retrieved Jowett translations omit Stephanus marginal numbering, so standard loci identify the recognizable passages; this is not a claim to have collated a critical Greek edition.</w:t>
      </w:r>
    </w:p>
    <w:p>
      <w:pPr>
        <w:pStyle w:val="BodyText"/>
      </w:pPr>
      <w:r>
        <w:t xml:space="preserve">In</w:t>
      </w:r>
      <w:r>
        <w:t xml:space="preserve"> </w:t>
      </w:r>
      <w:r>
        <w:rPr>
          <w:i/>
          <w:iCs/>
        </w:rPr>
        <w:t xml:space="preserve">Parmenides</w:t>
      </w:r>
      <w:r>
        <w:t xml:space="preserve"> </w:t>
      </w:r>
      <w:r>
        <w:t xml:space="preserve">130e–131e, Parmenides asks whether each participant receives the whole Form or a part. Socrates’ daylight comparison suggests a one present in many without dismemberment; Parmenides’ sail comparison renews the partition difficulty. The dialogue does not simply endorse one settled solution. At 132d–133a, replacing participation with likeness between copy and pattern invites a further Form common to pattern and copy, hence regress.</w:t>
      </w:r>
      <w:r>
        <w:t xml:space="preserve"> </w:t>
      </w:r>
      <w:r>
        <w:rPr>
          <w:b/>
          <w:bCs/>
        </w:rPr>
        <w:t xml:space="preserve">Constructive use:</w:t>
      </w:r>
      <w:r>
        <w:t xml:space="preserve"> </w:t>
      </w:r>
      <w:r>
        <w:t xml:space="preserve">reject the whole/part model of communication, but do not pretend that calling an effect a likeness already avoids the regress. A causal, asymmetrical correspondence must be distinguished from symmetric membership under a third exemplar.</w:t>
      </w:r>
    </w:p>
    <w:p>
      <w:pPr>
        <w:pStyle w:val="BodyText"/>
      </w:pPr>
      <w:r>
        <w:rPr>
          <w:i/>
          <w:iCs/>
        </w:rPr>
        <w:t xml:space="preserve">Republic</w:t>
      </w:r>
      <w:r>
        <w:t xml:space="preserve"> </w:t>
      </w:r>
      <w:r>
        <w:t xml:space="preserve">509b locates the Good beyond being in dignity and power while making it explanatory of intelligibility and being. This is an antecedent for the thesis that an explanatory source need not possess what it communicates in the recipient’s mode. It is not a Christian Creator–creature doctrine, and</w:t>
      </w:r>
      <w:r>
        <w:t xml:space="preserve"> </w:t>
      </w:r>
      <w:r>
        <w:t xml:space="preserve">“</w:t>
      </w:r>
      <w:r>
        <w:t xml:space="preserve">beyond being</w:t>
      </w:r>
      <w:r>
        <w:t xml:space="preserve">”</w:t>
      </w:r>
      <w:r>
        <w:t xml:space="preserve"> </w:t>
      </w:r>
      <w:r>
        <w:t xml:space="preserve">must not be silently identified with Aquinas’s</w:t>
      </w:r>
      <w:r>
        <w:t xml:space="preserve"> </w:t>
      </w:r>
      <w:r>
        <w:rPr>
          <w:i/>
          <w:iCs/>
        </w:rPr>
        <w:t xml:space="preserve">ipsum esse</w:t>
      </w:r>
      <w:r>
        <w:t xml:space="preserve">.</w:t>
      </w:r>
      <w:r>
        <w:t xml:space="preserve"> </w:t>
      </w:r>
      <w:r>
        <w:rPr>
          <w:i/>
          <w:iCs/>
        </w:rPr>
        <w:t xml:space="preserve">Timaeus</w:t>
      </w:r>
      <w:r>
        <w:t xml:space="preserve"> </w:t>
      </w:r>
      <w:r>
        <w:t xml:space="preserve">28a–29e connects generated reality with cause, stable paradigm, goodness, and likeness: the good maker wishes things to become like himself as far as possible. The paradigm/craftsman/receptacle structure cannot simply be imported as creation</w:t>
      </w:r>
      <w:r>
        <w:t xml:space="preserve"> </w:t>
      </w:r>
      <w:r>
        <w:rPr>
          <w:i/>
          <w:iCs/>
        </w:rPr>
        <w:t xml:space="preserve">ex nihilo</w:t>
      </w:r>
      <w:r>
        <w:t xml:space="preserve">; the interpretation of the dialogue’s temporal cosmogony is contested.</w:t>
      </w:r>
    </w:p>
    <w:p>
      <w:pPr>
        <w:pStyle w:val="BodyText"/>
      </w:pPr>
      <w:r>
        <w:rPr>
          <w:b/>
          <w:bCs/>
        </w:rPr>
        <w:t xml:space="preserve">Scholarship consulted indirectly:</w:t>
      </w:r>
      <w:r>
        <w:t xml:space="preserve"> </w:t>
      </w:r>
      <w:r>
        <w:t xml:space="preserve">archived Stanford Encyclopedia prose entries</w:t>
      </w:r>
      <w:r>
        <w:t xml:space="preserve"> </w:t>
      </w:r>
      <w:r>
        <w:t xml:space="preserve">“</w:t>
      </w:r>
      <w:r>
        <w:t xml:space="preserve">Plato’s Parmenides,</w:t>
      </w:r>
      <w:r>
        <w:t xml:space="preserve">”</w:t>
      </w:r>
      <w:r>
        <w:t xml:space="preserve"> </w:t>
      </w:r>
      <w:r>
        <w:t xml:space="preserve">“</w:t>
      </w:r>
      <w:r>
        <w:t xml:space="preserve">Plato’s Timaeus,</w:t>
      </w:r>
      <w:r>
        <w:t xml:space="preserve">”</w:t>
      </w:r>
      <w:r>
        <w:t xml:space="preserve"> </w:t>
      </w:r>
      <w:r>
        <w:t xml:space="preserve">and</w:t>
      </w:r>
      <w:r>
        <w:t xml:space="preserve"> </w:t>
      </w:r>
      <w:r>
        <w:t xml:space="preserve">“</w:t>
      </w:r>
      <w:r>
        <w:t xml:space="preserve">Plato’s Middle Period Metaphysics and Epistemology</w:t>
      </w:r>
      <w:r>
        <w:t xml:space="preserve">”</w:t>
      </w:r>
      <w:r>
        <w:t xml:space="preserve"> </w:t>
      </w:r>
      <w:r>
        <w:t xml:space="preserve">in the by-August-2016 corpus listed below. Specialist follow-up, not consulted in full: Samuel C. Rickless,</w:t>
      </w:r>
      <w:r>
        <w:t xml:space="preserve"> </w:t>
      </w:r>
      <w:r>
        <w:rPr>
          <w:i/>
          <w:iCs/>
        </w:rPr>
        <w:t xml:space="preserve">Plato’s Forms in Transition</w:t>
      </w:r>
      <w:r>
        <w:t xml:space="preserve"> </w:t>
      </w:r>
      <w:r>
        <w:t xml:space="preserve">(2007). The important disagreement is whether the first part’s criticisms defeat Forms, expose an immature version, or prescribe necessary revisions. These notes use the objections as constraints, not as a verdict on Plato’s entire metaphysics.</w:t>
      </w:r>
    </w:p>
    <w:bookmarkEnd w:id="347"/>
    <w:bookmarkStart w:id="348" w:name="X082550ca8c318e9f28eb58e6480bee470016689"/>
    <w:p>
      <w:pPr>
        <w:pStyle w:val="Heading3"/>
      </w:pPr>
      <w:r>
        <w:t xml:space="preserve">Aristotle: actuality and explanatory discrimination</w:t>
      </w:r>
    </w:p>
    <w:p>
      <w:pPr>
        <w:pStyle w:val="FirstParagraph"/>
      </w:pPr>
      <w:r>
        <w:rPr>
          <w:b/>
          <w:bCs/>
        </w:rPr>
        <w:t xml:space="preserve">Primary consulted:</w:t>
      </w:r>
      <w:r>
        <w:t xml:space="preserve"> </w:t>
      </w:r>
      <w:r>
        <w:rPr>
          <w:i/>
          <w:iCs/>
        </w:rPr>
        <w:t xml:space="preserve">Metaphysics</w:t>
      </w:r>
      <w:r>
        <w:t xml:space="preserve"> </w:t>
      </w:r>
      <w:r>
        <w:t xml:space="preserve">I.9, 991a20–b9; III.3, 998b22–27; IV.2, 1003a33–b19; IX.8, 1049b4–1051a3; XII.7, 1072a19–b30, in the Perseus Tredennick translation. The XML preserves Bekker milestones and distinguishes translator notes from the text.</w:t>
      </w:r>
    </w:p>
    <w:p>
      <w:pPr>
        <w:pStyle w:val="BodyText"/>
      </w:pPr>
      <w:r>
        <w:t xml:space="preserve">I.9 challenges the causal sufficiency of separated patterns: merely resembling Socrates is not the same as being caused by Socrates; a generator remains to be specified.</w:t>
      </w:r>
      <w:r>
        <w:t xml:space="preserve"> </w:t>
      </w:r>
      <w:r>
        <w:rPr>
          <w:b/>
          <w:bCs/>
        </w:rPr>
        <w:t xml:space="preserve">Constructive use:</w:t>
      </w:r>
      <w:r>
        <w:t xml:space="preserve"> </w:t>
      </w:r>
      <w:r>
        <w:t xml:space="preserve">likeness cannot silently substitute for causation, and causal dependence cannot silently substitute for likeness. III.3 argues that being and unity cannot function as genera in the ordinary classificatory sense; IV.2 nevertheless allows the senses of being to be ordered toward a primary focus. This licenses a distinction between ordered intelligibility and a common genus, but is not itself a proof that God and creatures have the particular analogy a Christian account requires.</w:t>
      </w:r>
    </w:p>
    <w:p>
      <w:pPr>
        <w:pStyle w:val="BodyText"/>
      </w:pPr>
      <w:r>
        <w:t xml:space="preserve">IX.8 establishes the priority of actuality to potentiality in specified senses, not the universal statement that every event’s temporal cause precedes it. XII.7’s unmoved actuality and causation as object of desire supply non-receptive and non-rivalrous resources. They do not establish creation</w:t>
      </w:r>
      <w:r>
        <w:t xml:space="preserve"> </w:t>
      </w:r>
      <w:r>
        <w:rPr>
          <w:i/>
          <w:iCs/>
        </w:rPr>
        <w:t xml:space="preserve">ex nihilo</w:t>
      </w:r>
      <w:r>
        <w:t xml:space="preserve">, a freely selected cosmic history, or a general efficient cause of every thing’s entire being. Whether Aristotle’s first mover has an efficient causal role is a scholarly dispute; these notes do not resolve it by stipulation.</w:t>
      </w:r>
    </w:p>
    <w:p>
      <w:pPr>
        <w:pStyle w:val="BodyText"/>
      </w:pPr>
      <w:r>
        <w:rPr>
          <w:b/>
          <w:bCs/>
        </w:rPr>
        <w:t xml:space="preserve">Scholarship consulted:</w:t>
      </w:r>
      <w:r>
        <w:t xml:space="preserve"> </w:t>
      </w:r>
      <w:r>
        <w:t xml:space="preserve">archived SEP prose</w:t>
      </w:r>
      <w:r>
        <w:t xml:space="preserve"> </w:t>
      </w:r>
      <w:r>
        <w:t xml:space="preserve">“</w:t>
      </w:r>
      <w:r>
        <w:t xml:space="preserve">Aristotle’s Metaphysics</w:t>
      </w:r>
      <w:r>
        <w:t xml:space="preserve">”</w:t>
      </w:r>
      <w:r>
        <w:t xml:space="preserve"> </w:t>
      </w:r>
      <w:r>
        <w:t xml:space="preserve">and</w:t>
      </w:r>
      <w:r>
        <w:t xml:space="preserve"> </w:t>
      </w:r>
      <w:r>
        <w:t xml:space="preserve">“</w:t>
      </w:r>
      <w:r>
        <w:t xml:space="preserve">Aristotle on Causality.</w:t>
      </w:r>
      <w:r>
        <w:t xml:space="preserve">”</w:t>
      </w:r>
      <w:r>
        <w:t xml:space="preserve"> </w:t>
      </w:r>
      <w:r>
        <w:t xml:space="preserve">Further specialist lead, not consulted: Aryeh Kosman,</w:t>
      </w:r>
      <w:r>
        <w:t xml:space="preserve"> </w:t>
      </w:r>
      <w:r>
        <w:rPr>
          <w:i/>
          <w:iCs/>
        </w:rPr>
        <w:t xml:space="preserve">The Activity of Being</w:t>
      </w:r>
      <w:r>
        <w:t xml:space="preserve"> </w:t>
      </w:r>
      <w:r>
        <w:t xml:space="preserve">(2013). Aristotle helps distinguish categories of explanation; he should not become the compulsory ontology of the synthesis.</w:t>
      </w:r>
    </w:p>
    <w:bookmarkEnd w:id="348"/>
    <w:bookmarkStart w:id="349" w:name="X67aa9bb1a82457c817357d35893059dbf714282"/>
    <w:p>
      <w:pPr>
        <w:pStyle w:val="Heading3"/>
      </w:pPr>
      <w:r>
        <w:t xml:space="preserve">Plotinus: strong non-partitive intimacy, insufficient creation freedom</w:t>
      </w:r>
    </w:p>
    <w:p>
      <w:pPr>
        <w:pStyle w:val="FirstParagraph"/>
      </w:pPr>
      <w:r>
        <w:rPr>
          <w:b/>
          <w:bCs/>
        </w:rPr>
        <w:t xml:space="preserve">Primary consulted:</w:t>
      </w:r>
      <w:r>
        <w:t xml:space="preserve"> </w:t>
      </w:r>
      <w:r>
        <w:rPr>
          <w:i/>
          <w:iCs/>
        </w:rPr>
        <w:t xml:space="preserve">Enneads</w:t>
      </w:r>
      <w:r>
        <w:t xml:space="preserve"> </w:t>
      </w:r>
      <w:r>
        <w:t xml:space="preserve">V.2.1, VI.9.1–3 and VI.9.9, with V.1.6 as the modal pressure point, in Kenneth Sylvan Guthrie’s older translation. Its explanatory headings and parenthetical expansions belong to the translator; they should not be quoted as Plotinus. A. H. Armstrong’s Loeb edition is the preferred critical follow-up, not directly consulted here.</w:t>
      </w:r>
    </w:p>
    <w:p>
      <w:pPr>
        <w:pStyle w:val="BodyText"/>
      </w:pPr>
      <w:r>
        <w:t xml:space="preserve">V.2.1 describes the One as all things and none of them, simple, needing and acquiring nothing, and productive through superabundance of a different reality. VI.9.1–3 distinguishes participating unity from being the One, and refuses to classify the One as quantity, quality, soul, or intellect. VI.9.3 also locates the qualification expressed by calling the One a cause on the receiving side rather than treating it as an accident added to the One. VI.9.9 explicitly connects ongoing derivation with a source that remains entire and undiminished; its treatment of nearness is not spatial.</w:t>
      </w:r>
    </w:p>
    <w:p>
      <w:pPr>
        <w:pStyle w:val="BodyText"/>
      </w:pPr>
      <w:r>
        <w:rPr>
          <w:b/>
          <w:bCs/>
        </w:rPr>
        <w:t xml:space="preserve">Reasonable reconstruction:</w:t>
      </w:r>
      <w:r>
        <w:t xml:space="preserve"> </w:t>
      </w:r>
      <w:r>
        <w:t xml:space="preserve">simple source, real derivative actuality, and intimate continuing causality can coexist without material partition. This is powerful evidence against the proposition that otherness entails remoteness. It is not evidence that the One is a Christian personal Creator or that mystical union erases every distinction in precisely the user’s desired sense.</w:t>
      </w:r>
    </w:p>
    <w:p>
      <w:pPr>
        <w:pStyle w:val="BodyText"/>
      </w:pPr>
      <w:r>
        <w:t xml:space="preserve">V.1.6 links eternal perfection with eternal production and describes procession without a change or deliberative movement in the source.</w:t>
      </w:r>
      <w:r>
        <w:t xml:space="preserve"> </w:t>
      </w:r>
      <w:r>
        <w:rPr>
          <w:b/>
          <w:bCs/>
        </w:rPr>
        <w:t xml:space="preserve">Constructive test:</w:t>
      </w:r>
      <w:r>
        <w:t xml:space="preserve"> </w:t>
      </w:r>
      <w:r>
        <w:t xml:space="preserve">a necessitated finite emanation can satisfy asymmetry, nonidentity, non-partition, and non-exhaustion. It therefore defeats any inference from those alone to contingent creation. Do not turn this countermodel into a flat historical assertion that Plotinus has no account of freedom: VI.8’s treatment of the One’s freedom is an important unconsulted primary lead. Freedom from an external constraint and alternative possible divine communicative acts are different modal claims.</w:t>
      </w:r>
    </w:p>
    <w:p>
      <w:pPr>
        <w:pStyle w:val="BodyText"/>
      </w:pPr>
      <w:r>
        <w:rPr>
          <w:b/>
          <w:bCs/>
        </w:rPr>
        <w:t xml:space="preserve">Scholarship consulted:</w:t>
      </w:r>
      <w:r>
        <w:t xml:space="preserve"> </w:t>
      </w:r>
      <w:r>
        <w:t xml:space="preserve">the archived SEP</w:t>
      </w:r>
      <w:r>
        <w:t xml:space="preserve"> </w:t>
      </w:r>
      <w:r>
        <w:t xml:space="preserve">“</w:t>
      </w:r>
      <w:r>
        <w:t xml:space="preserve">Plotinus</w:t>
      </w:r>
      <w:r>
        <w:t xml:space="preserve">”</w:t>
      </w:r>
      <w:r>
        <w:t xml:space="preserve"> </w:t>
      </w:r>
      <w:r>
        <w:t xml:space="preserve">prose explicitly warns that emanation is neither temporal unpacking nor the separation of a potentially composite unity, and reconstructs it as ontological dependence. Further leads, not consulted: Dominic J. O’Meara,</w:t>
      </w:r>
      <w:r>
        <w:t xml:space="preserve"> </w:t>
      </w:r>
      <w:r>
        <w:rPr>
          <w:i/>
          <w:iCs/>
        </w:rPr>
        <w:t xml:space="preserve">Plotinus: An Introduction to the Enneads</w:t>
      </w:r>
      <w:r>
        <w:t xml:space="preserve"> </w:t>
      </w:r>
      <w:r>
        <w:t xml:space="preserve">(1993); Lloyd P. Gerson,</w:t>
      </w:r>
      <w:r>
        <w:t xml:space="preserve"> </w:t>
      </w:r>
      <w:r>
        <w:rPr>
          <w:i/>
          <w:iCs/>
        </w:rPr>
        <w:t xml:space="preserve">Plotinus</w:t>
      </w:r>
      <w:r>
        <w:t xml:space="preserve"> </w:t>
      </w:r>
      <w:r>
        <w:t xml:space="preserve">(1994).</w:t>
      </w:r>
    </w:p>
    <w:bookmarkEnd w:id="349"/>
    <w:bookmarkStart w:id="350" w:name="X5043227f03b835542204c8319ab98452e6059b6"/>
    <w:p>
      <w:pPr>
        <w:pStyle w:val="Heading3"/>
      </w:pPr>
      <w:r>
        <w:t xml:space="preserve">Proclus: formal architecture and the cost of intermediary principles</w:t>
      </w:r>
    </w:p>
    <w:p>
      <w:pPr>
        <w:pStyle w:val="FirstParagraph"/>
      </w:pPr>
      <w:r>
        <w:rPr>
          <w:b/>
          <w:bCs/>
        </w:rPr>
        <w:t xml:space="preserve">Consulted:</w:t>
      </w:r>
      <w:r>
        <w:t xml:space="preserve"> </w:t>
      </w:r>
      <w:r>
        <w:t xml:space="preserve">archived SEP</w:t>
      </w:r>
      <w:r>
        <w:t xml:space="preserve"> </w:t>
      </w:r>
      <w:r>
        <w:t xml:space="preserve">“</w:t>
      </w:r>
      <w:r>
        <w:t xml:space="preserve">Proclus,</w:t>
      </w:r>
      <w:r>
        <w:t xml:space="preserve">”</w:t>
      </w:r>
      <w:r>
        <w:t xml:space="preserve"> </w:t>
      </w:r>
      <w:r>
        <w:t xml:space="preserve">especially discussion of</w:t>
      </w:r>
      <w:r>
        <w:t xml:space="preserve"> </w:t>
      </w:r>
      <w:r>
        <w:rPr>
          <w:i/>
          <w:iCs/>
        </w:rPr>
        <w:t xml:space="preserve">Elements of Theology</w:t>
      </w:r>
      <w:r>
        <w:t xml:space="preserve"> </w:t>
      </w:r>
      <w:r>
        <w:t xml:space="preserve">propositions 23, 35, and 75.</w:t>
      </w:r>
      <w:r>
        <w:t xml:space="preserve"> </w:t>
      </w:r>
      <w:r>
        <w:rPr>
          <w:b/>
          <w:bCs/>
        </w:rPr>
        <w:t xml:space="preserve">Primary edition not directly consulted:</w:t>
      </w:r>
      <w:r>
        <w:t xml:space="preserve"> </w:t>
      </w:r>
      <w:r>
        <w:t xml:space="preserve">E. R. Dodds,</w:t>
      </w:r>
      <w:r>
        <w:t xml:space="preserve"> </w:t>
      </w:r>
      <w:r>
        <w:rPr>
          <w:i/>
          <w:iCs/>
        </w:rPr>
        <w:t xml:space="preserve">The Elements of Theology</w:t>
      </w:r>
      <w:r>
        <w:t xml:space="preserve">, second edition (1963). Exact proposition numbers beyond those substantiated by the specialist article are follow-up leads, not freshly verified readings.</w:t>
      </w:r>
    </w:p>
    <w:p>
      <w:pPr>
        <w:pStyle w:val="BodyText"/>
      </w:pPr>
      <w:r>
        <w:t xml:space="preserve">Proposition 35’s remaining–procession–return architecture presents a cause’s transcendence and a derivative’s real relation together. Proposition 23’s unparticipated–participated–participating triad addresses the one/many difficulty: the universal principle remains transcendent while participated terms articulate its presence to recipients. Proposition 75 distinguishes proper productive cause from an immanent constitutive or instrumental cause.</w:t>
      </w:r>
      <w:r>
        <w:t xml:space="preserve"> </w:t>
      </w:r>
      <w:r>
        <w:rPr>
          <w:b/>
          <w:bCs/>
        </w:rPr>
        <w:t xml:space="preserve">Constructive use:</w:t>
      </w:r>
      <w:r>
        <w:t xml:space="preserve"> </w:t>
      </w:r>
      <w:r>
        <w:t xml:space="preserve">originating causality need not be a constituent in the result, and multiple recipients need not divide the originating cause.</w:t>
      </w:r>
    </w:p>
    <w:p>
      <w:pPr>
        <w:pStyle w:val="BodyText"/>
      </w:pPr>
      <w:r>
        <w:rPr>
          <w:b/>
          <w:bCs/>
        </w:rPr>
        <w:t xml:space="preserve">Non-harmonizable issue:</w:t>
      </w:r>
      <w:r>
        <w:t xml:space="preserve"> </w:t>
      </w:r>
      <w:r>
        <w:t xml:space="preserve">Proclus’s hierarchy of participated henads is not simply the Christian God under another name. A Christian synthesis cannot borrow the formal distinction and conceal a commitment to multiple gods or obligatory ontological intermediaries. Nor does invoking return establish contingent creation. Proclus is useful as a demonstrative architectural predecessor and as a rival ontology, not a ready-made Christian minimal base.</w:t>
      </w:r>
    </w:p>
    <w:p>
      <w:pPr>
        <w:pStyle w:val="BodyText"/>
      </w:pPr>
      <w:r>
        <w:t xml:space="preserve">Further specialist lead, not consulted: Lucas Siorvanes,</w:t>
      </w:r>
      <w:r>
        <w:t xml:space="preserve"> </w:t>
      </w:r>
      <w:r>
        <w:rPr>
          <w:i/>
          <w:iCs/>
        </w:rPr>
        <w:t xml:space="preserve">Proclus: Neo-Platonic Philosophy and Science</w:t>
      </w:r>
      <w:r>
        <w:t xml:space="preserve"> </w:t>
      </w:r>
      <w:r>
        <w:t xml:space="preserve">(1996). Distinguish Proclus’s criticism of Aristotle from an uncontested account of Aristotle.</w:t>
      </w:r>
    </w:p>
    <w:bookmarkEnd w:id="350"/>
    <w:bookmarkStart w:id="351" w:name="X508ead4bdd4afad98db627c92b30ab38f66f37f"/>
    <w:p>
      <w:pPr>
        <w:pStyle w:val="Heading3"/>
      </w:pPr>
      <w:r>
        <w:t xml:space="preserve">Gregory of Nyssa: likeness across a real ontological distinction</w:t>
      </w:r>
    </w:p>
    <w:p>
      <w:pPr>
        <w:pStyle w:val="FirstParagraph"/>
      </w:pPr>
      <w:r>
        <w:rPr>
          <w:b/>
          <w:bCs/>
        </w:rPr>
        <w:t xml:space="preserve">Primary consulted:</w:t>
      </w:r>
      <w:r>
        <w:t xml:space="preserve"> </w:t>
      </w:r>
      <w:r>
        <w:rPr>
          <w:i/>
          <w:iCs/>
        </w:rPr>
        <w:t xml:space="preserve">On the Making of Man</w:t>
      </w:r>
      <w:r>
        <w:t xml:space="preserve"> </w:t>
      </w:r>
      <w:r>
        <w:t xml:space="preserve">XVI, with XVII and XXII read for context, in William Moore and Henry Austin Wilson’s translation. Standard Ebooks’ colophon identifies a Wikisource transcription checked against scanned print sources. The text’s anthropological and eschatological claims should not be mistaken for universal axioms about all created beings.</w:t>
      </w:r>
    </w:p>
    <w:p>
      <w:pPr>
        <w:pStyle w:val="BodyText"/>
      </w:pPr>
      <w:r>
        <w:t xml:space="preserve">XVI directly asks how the mutable, bodily, mortal human image can resemble an immutable, incorporeal archetype. It distinguishes attributes in which likeness consists from the difference between uncreated and created nature. Creation’s passage from nonexistence to existence belongs to the mutable receiver; the uncreated nature remains immutable. The same chapter says that each created thing has limit and measure prescribed by the Maker’s wisdom.</w:t>
      </w:r>
      <w:r>
        <w:t xml:space="preserve"> </w:t>
      </w:r>
      <w:r>
        <w:rPr>
          <w:b/>
          <w:bCs/>
        </w:rPr>
        <w:t xml:space="preserve">Reasonable reconstruction:</w:t>
      </w:r>
      <w:r>
        <w:t xml:space="preserve"> </w:t>
      </w:r>
      <w:r>
        <w:t xml:space="preserve">genuine correspondence in perfection does not transfer the recipient’s ontological mode into the source. This is a strong patristic witness against reducing likeness to shared substance or a common constitutive genus.</w:t>
      </w:r>
    </w:p>
    <w:p>
      <w:pPr>
        <w:pStyle w:val="BodyText"/>
      </w:pPr>
      <w:r>
        <w:rPr>
          <w:b/>
          <w:bCs/>
        </w:rPr>
        <w:t xml:space="preserve">Unconsulted exact primary leads:</w:t>
      </w:r>
      <w:r>
        <w:t xml:space="preserve"> </w:t>
      </w:r>
      <w:r>
        <w:rPr>
          <w:i/>
          <w:iCs/>
        </w:rPr>
        <w:t xml:space="preserve">Life of Moses</w:t>
      </w:r>
      <w:r>
        <w:t xml:space="preserve"> </w:t>
      </w:r>
      <w:r>
        <w:t xml:space="preserve">II.219 and II.232–239 for unlimited good and unending desire/vision; edition: Abraham J. Malherbe and Everett Ferguson,</w:t>
      </w:r>
      <w:r>
        <w:t xml:space="preserve"> </w:t>
      </w:r>
      <w:r>
        <w:rPr>
          <w:i/>
          <w:iCs/>
        </w:rPr>
        <w:t xml:space="preserve">The Life of Moses</w:t>
      </w:r>
      <w:r>
        <w:t xml:space="preserve"> </w:t>
      </w:r>
      <w:r>
        <w:t xml:space="preserve">(1978). Do not insert an unverified verbatim quotation. Gregory’s infinity and</w:t>
      </w:r>
      <w:r>
        <w:t xml:space="preserve"> </w:t>
      </w:r>
      <w:r>
        <w:rPr>
          <w:i/>
          <w:iCs/>
        </w:rPr>
        <w:t xml:space="preserve">epektasis</w:t>
      </w:r>
      <w:r>
        <w:t xml:space="preserve"> </w:t>
      </w:r>
      <w:r>
        <w:t xml:space="preserve">can support non-exhaustion, but non-exhaustion does not entail that every creature has an endless conscious ascent, or that every possible perfection is predicated of God in a categorially identical sense.</w:t>
      </w:r>
    </w:p>
    <w:p>
      <w:pPr>
        <w:pStyle w:val="BodyText"/>
      </w:pPr>
      <w:r>
        <w:rPr>
          <w:b/>
          <w:bCs/>
        </w:rPr>
        <w:t xml:space="preserve">Specialist books identified, not consulted in full:</w:t>
      </w:r>
      <w:r>
        <w:t xml:space="preserve"> </w:t>
      </w:r>
      <w:r>
        <w:t xml:space="preserve">David L. Balás,</w:t>
      </w:r>
      <w:r>
        <w:t xml:space="preserve"> </w:t>
      </w:r>
      <w:r>
        <w:rPr>
          <w:i/>
          <w:iCs/>
        </w:rPr>
        <w:t xml:space="preserve">Metousia Theou: Man’s Participation in God’s Perfections according to Saint Gregory of Nyssa</w:t>
      </w:r>
      <w:r>
        <w:t xml:space="preserve"> </w:t>
      </w:r>
      <w:r>
        <w:t xml:space="preserve">(1966); Ekkehard Mühlenberg,</w:t>
      </w:r>
      <w:r>
        <w:t xml:space="preserve"> </w:t>
      </w:r>
      <w:r>
        <w:rPr>
          <w:i/>
          <w:iCs/>
        </w:rPr>
        <w:t xml:space="preserve">Die Unendlichkeit Gottes bei Gregor von Nyssa</w:t>
      </w:r>
      <w:r>
        <w:t xml:space="preserve"> </w:t>
      </w:r>
      <w:r>
        <w:t xml:space="preserve">(1966); Morwenna Ludlow,</w:t>
      </w:r>
      <w:r>
        <w:t xml:space="preserve"> </w:t>
      </w:r>
      <w:r>
        <w:rPr>
          <w:i/>
          <w:iCs/>
        </w:rPr>
        <w:t xml:space="preserve">Gregory of Nyssa, Ancient and (Post)modern</w:t>
      </w:r>
      <w:r>
        <w:t xml:space="preserve"> </w:t>
      </w:r>
      <w:r>
        <w:t xml:space="preserve">(2007). Gregory’s positive account of infinity and its relationship to incomprehensibility deserve direct specialist checking before claiming an exhaustive Nyssen reconstruction.</w:t>
      </w:r>
    </w:p>
    <w:bookmarkEnd w:id="351"/>
    <w:bookmarkStart w:id="352" w:name="Xd962cd49fc3c6dbb0c60d162498541a18fe167c"/>
    <w:p>
      <w:pPr>
        <w:pStyle w:val="Heading3"/>
      </w:pPr>
      <w:r>
        <w:t xml:space="preserve">Augustine: source possession, received possession, and ideas without detached Forms</w:t>
      </w:r>
    </w:p>
    <w:p>
      <w:pPr>
        <w:pStyle w:val="FirstParagraph"/>
      </w:pPr>
      <w:r>
        <w:rPr>
          <w:b/>
          <w:bCs/>
        </w:rPr>
        <w:t xml:space="preserve">Primary consulted:</w:t>
      </w:r>
      <w:r>
        <w:t xml:space="preserve"> </w:t>
      </w:r>
      <w:r>
        <w:rPr>
          <w:i/>
          <w:iCs/>
        </w:rPr>
        <w:t xml:space="preserve">City of God</w:t>
      </w:r>
      <w:r>
        <w:t xml:space="preserve"> </w:t>
      </w:r>
      <w:r>
        <w:t xml:space="preserve">IX.17, X.15, XI.10, XI.21, XII.1–2 and XII.17–21;</w:t>
      </w:r>
      <w:r>
        <w:t xml:space="preserve"> </w:t>
      </w:r>
      <w:r>
        <w:rPr>
          <w:i/>
          <w:iCs/>
        </w:rPr>
        <w:t xml:space="preserve">Confessions</w:t>
      </w:r>
      <w:r>
        <w:t xml:space="preserve"> </w:t>
      </w:r>
      <w:r>
        <w:t xml:space="preserve">I.2–4, VII.10–11 and XI.4–6. The principal verified witness is</w:t>
      </w:r>
      <w:r>
        <w:t xml:space="preserve"> </w:t>
      </w:r>
      <w:r>
        <w:rPr>
          <w:i/>
          <w:iCs/>
        </w:rPr>
        <w:t xml:space="preserve">City of God</w:t>
      </w:r>
      <w:r>
        <w:t xml:space="preserve"> </w:t>
      </w:r>
      <w:r>
        <w:t xml:space="preserve">XI.10, in Marcus Dods’s translation.</w:t>
      </w:r>
    </w:p>
    <w:p>
      <w:pPr>
        <w:pStyle w:val="BodyText"/>
      </w:pPr>
      <w:r>
        <w:t xml:space="preserve">XI.10 makes its contrast explicit: the simple divine good is what it has; a soul is wise by participating in wisdom that it is not. An incorruptible body remains distinguishable from its incorruptibility even when inseparable from it. These examples prevent the proposed ontology from conflating inseparability with identity or every distinction with separable parts. The light/air comparison is offered with acknowledged dissimilarity, not as literal physics of divine transmission. One divine wisdom contains the intelligible reasons of created things without becoming many wisdoms.</w:t>
      </w:r>
      <w:r>
        <w:t xml:space="preserve"> </w:t>
      </w:r>
      <w:r>
        <w:rPr>
          <w:b/>
          <w:bCs/>
        </w:rPr>
        <w:t xml:space="preserve">Constructive use:</w:t>
      </w:r>
      <w:r>
        <w:t xml:space="preserve"> </w:t>
      </w:r>
      <w:r>
        <w:t xml:space="preserve">perfection can be intrinsic and underived in source, acquired or dependent in receiver; many intelligible intentions concerning creatures need not multiply intrinsic divine acts.</w:t>
      </w:r>
    </w:p>
    <w:p>
      <w:pPr>
        <w:pStyle w:val="BodyText"/>
      </w:pPr>
      <w:r>
        <w:t xml:space="preserve">IX.17 treats nearness to God through likeness, not bodily contact. X.15 makes both being and wellbeing dependent on Creator. XII.2 treats created things as good because from God, mutable because made from nothing rather than God’s substance. XI.21 and XII.17–21 address making new things without acquiring a new divine intention. They support a non-acquired divine act with temporal effects; they do not by themselves settle all contemporary possible-world objections to simplicity and contingency.</w:t>
      </w:r>
    </w:p>
    <w:p>
      <w:pPr>
        <w:pStyle w:val="BodyText"/>
      </w:pPr>
      <w:r>
        <w:rPr>
          <w:i/>
          <w:iCs/>
        </w:rPr>
        <w:t xml:space="preserve">Confessions</w:t>
      </w:r>
      <w:r>
        <w:t xml:space="preserve"> </w:t>
      </w:r>
      <w:r>
        <w:t xml:space="preserve">I.3 asks whether God is wholly everywhere while nothing contains him wholly: the receiving vessel neither upholds nor portions the source. VII.10.16 explains</w:t>
      </w:r>
      <w:r>
        <w:t xml:space="preserve"> </w:t>
      </w:r>
      <w:r>
        <w:t xml:space="preserve">“</w:t>
      </w:r>
      <w:r>
        <w:t xml:space="preserve">above</w:t>
      </w:r>
      <w:r>
        <w:t xml:space="preserve">”</w:t>
      </w:r>
      <w:r>
        <w:t xml:space="preserve"> </w:t>
      </w:r>
      <w:r>
        <w:t xml:space="preserve">by being maker rather than by spatial elevation; XI.4.6 grounds created beauty, goodness, and being in their maker while denying equality of mode.</w:t>
      </w:r>
    </w:p>
    <w:p>
      <w:pPr>
        <w:pStyle w:val="BodyText"/>
      </w:pPr>
      <w:r>
        <w:rPr>
          <w:b/>
          <w:bCs/>
        </w:rPr>
        <w:t xml:space="preserve">Unconsulted primary lead:</w:t>
      </w:r>
      <w:r>
        <w:t xml:space="preserve"> </w:t>
      </w:r>
      <w:r>
        <w:rPr>
          <w:i/>
          <w:iCs/>
        </w:rPr>
        <w:t xml:space="preserve">Eighty-three Different Questions</w:t>
      </w:r>
      <w:r>
        <w:t xml:space="preserve"> </w:t>
      </w:r>
      <w:r>
        <w:t xml:space="preserve">46.1–2 for ideas as immutable formative reasons in divine intelligence. XI.10 already provides a verified, less specialized witness. Created forms are real created perfections, not pieces of their divine exemplars; grounding intelligibility in divine knowledge does not authorize treating epistemic access as the truthmaker of each created fact.</w:t>
      </w:r>
    </w:p>
    <w:p>
      <w:pPr>
        <w:pStyle w:val="BodyText"/>
      </w:pPr>
      <w:r>
        <w:rPr>
          <w:b/>
          <w:bCs/>
        </w:rPr>
        <w:t xml:space="preserve">Scholarship consulted:</w:t>
      </w:r>
      <w:r>
        <w:t xml:space="preserve"> </w:t>
      </w:r>
      <w:r>
        <w:t xml:space="preserve">archived SEP</w:t>
      </w:r>
      <w:r>
        <w:t xml:space="preserve"> </w:t>
      </w:r>
      <w:r>
        <w:t xml:space="preserve">“</w:t>
      </w:r>
      <w:r>
        <w:t xml:space="preserve">Augustine</w:t>
      </w:r>
      <w:r>
        <w:t xml:space="preserve">”</w:t>
      </w:r>
      <w:r>
        <w:t xml:space="preserve"> </w:t>
      </w:r>
      <w:r>
        <w:t xml:space="preserve">distinguishes his volitional creation from the common Neoplatonic necessary-emanation interpretation and treats illumination as a debated account of knowledge. It does not justify reducing Augustine to pagan ontology. Specialist leads, not directly consulted: John M. Rist,</w:t>
      </w:r>
      <w:r>
        <w:t xml:space="preserve"> </w:t>
      </w:r>
      <w:r>
        <w:rPr>
          <w:i/>
          <w:iCs/>
        </w:rPr>
        <w:t xml:space="preserve">Augustine: Ancient Thought Baptised</w:t>
      </w:r>
      <w:r>
        <w:t xml:space="preserve"> </w:t>
      </w:r>
      <w:r>
        <w:t xml:space="preserve">(1994); Gerard O’Daly,</w:t>
      </w:r>
      <w:r>
        <w:t xml:space="preserve"> </w:t>
      </w:r>
      <w:r>
        <w:rPr>
          <w:i/>
          <w:iCs/>
        </w:rPr>
        <w:t xml:space="preserve">Augustine’s Philosophy of Mind</w:t>
      </w:r>
      <w:r>
        <w:t xml:space="preserve"> </w:t>
      </w:r>
      <w:r>
        <w:t xml:space="preserve">(1987). Interpretations of illumination differ; do not infer that creatures are unreal mental representations merely because knowledge requires immutable standards.</w:t>
      </w:r>
    </w:p>
    <w:bookmarkEnd w:id="352"/>
    <w:bookmarkStart w:id="353" w:name="verified-source-ledger-and-access-limits"/>
    <w:p>
      <w:pPr>
        <w:pStyle w:val="Heading3"/>
      </w:pPr>
      <w:r>
        <w:t xml:space="preserve">Verified source ledger and access limits</w:t>
      </w:r>
    </w:p>
    <w:p>
      <w:pPr>
        <w:pStyle w:val="FirstParagraph"/>
      </w:pPr>
      <w:r>
        <w:t xml:space="preserve">Retrieved on 12 October 2026; source texts remain in</w:t>
      </w:r>
      <w:r>
        <w:t xml:space="preserve"> </w:t>
      </w:r>
      <w:r>
        <w:rPr>
          <w:rStyle w:val="VerbatimChar"/>
        </w:rPr>
        <w:t xml:space="preserve">/tmp/participation-sources</w:t>
      </w:r>
      <w:r>
        <w:t xml:space="preserve"> </w:t>
      </w:r>
      <w:r>
        <w:t xml:space="preserve">and the scholarly mirror texts in</w:t>
      </w:r>
      <w:r>
        <w:t xml:space="preserve"> </w:t>
      </w:r>
      <w:r>
        <w:rPr>
          <w:rStyle w:val="VerbatimChar"/>
        </w:rPr>
        <w:t xml:space="preserve">/tmp/latin-sources</w:t>
      </w:r>
      <w:r>
        <w:t xml:space="preserve"> </w:t>
      </w:r>
      <w:r>
        <w:t xml:space="preserve">for audit.</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Text</w:t>
            </w:r>
          </w:p>
        </w:tc>
        <w:tc>
          <w:tcPr>
            <w:tcW w:type="dxa" w:w="7452"/>
            <w:shd w:fill="EAE5DA"/>
          </w:tcPr>
          <w:p>
            <w:pPr>
              <w:pStyle w:val="BodyText"/>
              <w:keepNext w:val="0"/>
              <w:spacing w:after="80" w:line="252" w:lineRule="auto"/>
              <w:jc w:val="left"/>
            </w:pPr>
            <w:r>
              <w:rPr>
                <w:rFonts w:ascii="Calibri" w:hAnsi="Calibri"/>
                <w:b/>
                <w:sz w:val="17"/>
              </w:rPr>
              <w:t xml:space="preserve">Actually retrieved source</w:t>
            </w:r>
          </w:p>
        </w:tc>
      </w:tr>
      <w:tr>
        <w:tc>
          <w:tcPr>
            <w:tcW w:type="dxa" w:w="2484"/>
          </w:tcPr>
          <w:p>
            <w:pPr>
              <w:pStyle w:val="BodyText"/>
              <w:keepNext w:val="0"/>
              <w:spacing w:after="80" w:line="252" w:lineRule="auto"/>
              <w:jc w:val="left"/>
            </w:pPr>
            <w:r>
              <w:rPr>
                <w:rFonts w:ascii="Calibri" w:hAnsi="Calibri"/>
                <w:sz w:val="17"/>
              </w:rPr>
              <w:t xml:space="preserve">Plato,</w:t>
            </w:r>
            <w:r>
              <w:rPr>
                <w:rFonts w:ascii="Calibri" w:hAnsi="Calibri"/>
                <w:sz w:val="17"/>
              </w:rPr>
              <w:t xml:space="preserve"> </w:t>
            </w:r>
            <w:r>
              <w:rPr>
                <w:rFonts w:ascii="Calibri" w:hAnsi="Calibri"/>
                <w:i/>
                <w:iCs/>
                <w:sz w:val="17"/>
              </w:rPr>
              <w:t xml:space="preserve">Parmenides</w:t>
            </w:r>
            <w:r>
              <w:rPr>
                <w:rFonts w:ascii="Calibri" w:hAnsi="Calibri"/>
                <w:sz w:val="17"/>
              </w:rPr>
              <w:t xml:space="preserve">, Jowett</w:t>
            </w:r>
          </w:p>
        </w:tc>
        <w:tc>
          <w:tcPr>
            <w:tcW w:type="dxa" w:w="7452"/>
          </w:tcPr>
          <w:p>
            <w:pPr>
              <w:pStyle w:val="BodyText"/>
              <w:keepNext w:val="0"/>
              <w:spacing w:after="80" w:line="252" w:lineRule="auto"/>
              <w:jc w:val="left"/>
            </w:pPr>
            <w:r>
              <w:rPr>
                <w:rFonts w:ascii="Calibri" w:hAnsi="Calibri"/>
                <w:sz w:val="17"/>
              </w:rPr>
              <w:t xml:space="preserve">https:/​/​raw.​githubusercontent.​com/​GITenberg/​Parmenides_​1687/​master/​1687.​txt</w:t>
            </w:r>
          </w:p>
        </w:tc>
      </w:tr>
      <w:tr>
        <w:tc>
          <w:tcPr>
            <w:tcW w:type="dxa" w:w="2484"/>
          </w:tcPr>
          <w:p>
            <w:pPr>
              <w:pStyle w:val="BodyText"/>
              <w:keepNext w:val="0"/>
              <w:spacing w:after="80" w:line="252" w:lineRule="auto"/>
              <w:jc w:val="left"/>
            </w:pPr>
            <w:r>
              <w:rPr>
                <w:rFonts w:ascii="Calibri" w:hAnsi="Calibri"/>
                <w:sz w:val="17"/>
              </w:rPr>
              <w:t xml:space="preserve">Plato,</w:t>
            </w:r>
            <w:r>
              <w:rPr>
                <w:rFonts w:ascii="Calibri" w:hAnsi="Calibri"/>
                <w:sz w:val="17"/>
              </w:rPr>
              <w:t xml:space="preserve"> </w:t>
            </w:r>
            <w:r>
              <w:rPr>
                <w:rFonts w:ascii="Calibri" w:hAnsi="Calibri"/>
                <w:i/>
                <w:iCs/>
                <w:sz w:val="17"/>
              </w:rPr>
              <w:t xml:space="preserve">Timaeus</w:t>
            </w:r>
            <w:r>
              <w:rPr>
                <w:rFonts w:ascii="Calibri" w:hAnsi="Calibri"/>
                <w:sz w:val="17"/>
              </w:rPr>
              <w:t xml:space="preserve">, Jowett</w:t>
            </w:r>
          </w:p>
        </w:tc>
        <w:tc>
          <w:tcPr>
            <w:tcW w:type="dxa" w:w="7452"/>
          </w:tcPr>
          <w:p>
            <w:pPr>
              <w:pStyle w:val="BodyText"/>
              <w:keepNext w:val="0"/>
              <w:spacing w:after="80" w:line="252" w:lineRule="auto"/>
              <w:jc w:val="left"/>
            </w:pPr>
            <w:r>
              <w:rPr>
                <w:rFonts w:ascii="Calibri" w:hAnsi="Calibri"/>
                <w:sz w:val="17"/>
              </w:rPr>
              <w:t xml:space="preserve">https:/​/​raw.​githubusercontent.​com/​GITenberg/​Timaeus_​1572/​master/​1572.​txt</w:t>
            </w:r>
          </w:p>
        </w:tc>
      </w:tr>
      <w:tr>
        <w:tc>
          <w:tcPr>
            <w:tcW w:type="dxa" w:w="2484"/>
          </w:tcPr>
          <w:p>
            <w:pPr>
              <w:pStyle w:val="BodyText"/>
              <w:keepNext w:val="0"/>
              <w:spacing w:after="80" w:line="252" w:lineRule="auto"/>
              <w:jc w:val="left"/>
            </w:pPr>
            <w:r>
              <w:rPr>
                <w:rFonts w:ascii="Calibri" w:hAnsi="Calibri"/>
                <w:sz w:val="17"/>
              </w:rPr>
              <w:t xml:space="preserve">Plato,</w:t>
            </w:r>
            <w:r>
              <w:rPr>
                <w:rFonts w:ascii="Calibri" w:hAnsi="Calibri"/>
                <w:sz w:val="17"/>
              </w:rPr>
              <w:t xml:space="preserve"> </w:t>
            </w:r>
            <w:r>
              <w:rPr>
                <w:rFonts w:ascii="Calibri" w:hAnsi="Calibri"/>
                <w:i/>
                <w:iCs/>
                <w:sz w:val="17"/>
              </w:rPr>
              <w:t xml:space="preserve">Republic</w:t>
            </w:r>
            <w:r>
              <w:rPr>
                <w:rFonts w:ascii="Calibri" w:hAnsi="Calibri"/>
                <w:sz w:val="17"/>
              </w:rPr>
              <w:t xml:space="preserve">, Jowett</w:t>
            </w:r>
          </w:p>
        </w:tc>
        <w:tc>
          <w:tcPr>
            <w:tcW w:type="dxa" w:w="7452"/>
          </w:tcPr>
          <w:p>
            <w:pPr>
              <w:pStyle w:val="BodyText"/>
              <w:keepNext w:val="0"/>
              <w:spacing w:after="80" w:line="252" w:lineRule="auto"/>
              <w:jc w:val="left"/>
            </w:pPr>
            <w:r>
              <w:rPr>
                <w:rFonts w:ascii="Calibri" w:hAnsi="Calibri"/>
                <w:sz w:val="17"/>
              </w:rPr>
              <w:t xml:space="preserve">https:/​/​raw.​githubusercontent.​com/​GITenberg/​The-​Republic_​1497/​master/​1497.​txt</w:t>
            </w:r>
          </w:p>
        </w:tc>
      </w:tr>
      <w:tr>
        <w:tc>
          <w:tcPr>
            <w:tcW w:type="dxa" w:w="2484"/>
          </w:tcPr>
          <w:p>
            <w:pPr>
              <w:pStyle w:val="BodyText"/>
              <w:keepNext w:val="0"/>
              <w:spacing w:after="80" w:line="252" w:lineRule="auto"/>
              <w:jc w:val="left"/>
            </w:pPr>
            <w:r>
              <w:rPr>
                <w:rFonts w:ascii="Calibri" w:hAnsi="Calibri"/>
                <w:sz w:val="17"/>
              </w:rPr>
              <w:t xml:space="preserve">Aristotle,</w:t>
            </w:r>
            <w:r>
              <w:rPr>
                <w:rFonts w:ascii="Calibri" w:hAnsi="Calibri"/>
                <w:sz w:val="17"/>
              </w:rPr>
              <w:t xml:space="preserve"> </w:t>
            </w:r>
            <w:r>
              <w:rPr>
                <w:rFonts w:ascii="Calibri" w:hAnsi="Calibri"/>
                <w:i/>
                <w:iCs/>
                <w:sz w:val="17"/>
              </w:rPr>
              <w:t xml:space="preserve">Metaphysics</w:t>
            </w:r>
            <w:r>
              <w:rPr>
                <w:rFonts w:ascii="Calibri" w:hAnsi="Calibri"/>
                <w:sz w:val="17"/>
              </w:rPr>
              <w:t xml:space="preserve">, Tredennick</w:t>
            </w:r>
          </w:p>
        </w:tc>
        <w:tc>
          <w:tcPr>
            <w:tcW w:type="dxa" w:w="7452"/>
          </w:tcPr>
          <w:p>
            <w:pPr>
              <w:pStyle w:val="BodyText"/>
              <w:keepNext w:val="0"/>
              <w:spacing w:after="80" w:line="252" w:lineRule="auto"/>
              <w:jc w:val="left"/>
            </w:pPr>
            <w:r>
              <w:rPr>
                <w:rFonts w:ascii="Calibri" w:hAnsi="Calibri"/>
                <w:sz w:val="17"/>
              </w:rPr>
              <w:t xml:space="preserve">https:/​/​raw.​githubusercontent.​com/​PerseusDL/​canonical-​greekLit/​master/​data/​tlg0086/​tlg025/​tlg0086.​tlg025.​perseus-​eng2.​xml</w:t>
            </w:r>
          </w:p>
        </w:tc>
      </w:tr>
      <w:tr>
        <w:tc>
          <w:tcPr>
            <w:tcW w:type="dxa" w:w="2484"/>
          </w:tcPr>
          <w:p>
            <w:pPr>
              <w:pStyle w:val="BodyText"/>
              <w:keepNext w:val="0"/>
              <w:spacing w:after="80" w:line="252" w:lineRule="auto"/>
              <w:jc w:val="left"/>
            </w:pPr>
            <w:r>
              <w:rPr>
                <w:rFonts w:ascii="Calibri" w:hAnsi="Calibri"/>
                <w:sz w:val="17"/>
              </w:rPr>
              <w:t xml:space="preserve">Plotinus, Guthrie, volume I</w:t>
            </w:r>
          </w:p>
        </w:tc>
        <w:tc>
          <w:tcPr>
            <w:tcW w:type="dxa" w:w="7452"/>
          </w:tcPr>
          <w:p>
            <w:pPr>
              <w:pStyle w:val="BodyText"/>
              <w:keepNext w:val="0"/>
              <w:spacing w:after="80" w:line="252" w:lineRule="auto"/>
              <w:jc w:val="left"/>
            </w:pPr>
            <w:r>
              <w:rPr>
                <w:rFonts w:ascii="Calibri" w:hAnsi="Calibri"/>
                <w:sz w:val="17"/>
              </w:rPr>
              <w:t xml:space="preserve">https:/​/​raw.​githubusercontent.​com/​GITenberg/​Plotinos–Complete-​Works-​v.​-​1In-​Chronological-​Order-​Grouped-​in-​Four-​Periods_​42930/​master/​42930-​h/​42930-​h.​htm</w:t>
            </w:r>
          </w:p>
        </w:tc>
      </w:tr>
      <w:tr>
        <w:tc>
          <w:tcPr>
            <w:tcW w:type="dxa" w:w="2484"/>
          </w:tcPr>
          <w:p>
            <w:pPr>
              <w:pStyle w:val="BodyText"/>
              <w:keepNext w:val="0"/>
              <w:spacing w:after="80" w:line="252" w:lineRule="auto"/>
              <w:jc w:val="left"/>
            </w:pPr>
            <w:r>
              <w:rPr>
                <w:rFonts w:ascii="Calibri" w:hAnsi="Calibri"/>
                <w:sz w:val="17"/>
              </w:rPr>
              <w:t xml:space="preserve">Gregory,</w:t>
            </w:r>
            <w:r>
              <w:rPr>
                <w:rFonts w:ascii="Calibri" w:hAnsi="Calibri"/>
                <w:sz w:val="17"/>
              </w:rPr>
              <w:t xml:space="preserve"> </w:t>
            </w:r>
            <w:r>
              <w:rPr>
                <w:rFonts w:ascii="Calibri" w:hAnsi="Calibri"/>
                <w:i/>
                <w:iCs/>
                <w:sz w:val="17"/>
              </w:rPr>
              <w:t xml:space="preserve">On the Making of Man</w:t>
            </w:r>
            <w:r>
              <w:rPr>
                <w:rFonts w:ascii="Calibri" w:hAnsi="Calibri"/>
                <w:sz w:val="17"/>
              </w:rPr>
              <w:t xml:space="preserve"> </w:t>
            </w:r>
            <w:r>
              <w:rPr>
                <w:rFonts w:ascii="Calibri" w:hAnsi="Calibri"/>
                <w:sz w:val="17"/>
              </w:rPr>
              <w:t xml:space="preserve">XVI</w:t>
            </w:r>
          </w:p>
        </w:tc>
        <w:tc>
          <w:tcPr>
            <w:tcW w:type="dxa" w:w="7452"/>
          </w:tcPr>
          <w:p>
            <w:pPr>
              <w:pStyle w:val="BodyText"/>
              <w:keepNext w:val="0"/>
              <w:spacing w:after="80" w:line="252" w:lineRule="auto"/>
              <w:jc w:val="left"/>
            </w:pPr>
            <w:r>
              <w:rPr>
                <w:rFonts w:ascii="Calibri" w:hAnsi="Calibri"/>
                <w:sz w:val="17"/>
              </w:rPr>
              <w:t xml:space="preserve">https:/​/​raw.​githubusercontent.​com/​standardebooks/​gregory-​of-​nyssa_​on-​the-​making-​of-​man_​william-​moore_​henry-​austin-​wilson/​master/​src/​epub/​text/​chapter-​16.​xhtml</w:t>
            </w:r>
          </w:p>
        </w:tc>
      </w:tr>
      <w:tr>
        <w:tc>
          <w:tcPr>
            <w:tcW w:type="dxa" w:w="2484"/>
          </w:tcPr>
          <w:p>
            <w:pPr>
              <w:pStyle w:val="BodyText"/>
              <w:keepNext w:val="0"/>
              <w:spacing w:after="80" w:line="252" w:lineRule="auto"/>
              <w:jc w:val="left"/>
            </w:pPr>
            <w:r>
              <w:rPr>
                <w:rFonts w:ascii="Calibri" w:hAnsi="Calibri"/>
                <w:sz w:val="17"/>
              </w:rPr>
              <w:t xml:space="preserve">Gregory edition provenance</w:t>
            </w:r>
          </w:p>
        </w:tc>
        <w:tc>
          <w:tcPr>
            <w:tcW w:type="dxa" w:w="7452"/>
          </w:tcPr>
          <w:p>
            <w:pPr>
              <w:pStyle w:val="BodyText"/>
              <w:keepNext w:val="0"/>
              <w:spacing w:after="80" w:line="252" w:lineRule="auto"/>
              <w:jc w:val="left"/>
            </w:pPr>
            <w:r>
              <w:rPr>
                <w:rFonts w:ascii="Calibri" w:hAnsi="Calibri"/>
                <w:sz w:val="17"/>
              </w:rPr>
              <w:t xml:space="preserve">https:/​/​raw.​githubusercontent.​com/​standardebooks/​gregory-​of-​nyssa_​on-​the-​making-​of-​man_​william-​moore_​henry-​austin-​wilson/​master/​src/​epub/​text/​colophon.​xhtml</w:t>
            </w:r>
          </w:p>
        </w:tc>
      </w:tr>
      <w:tr>
        <w:tc>
          <w:tcPr>
            <w:tcW w:type="dxa" w:w="2484"/>
          </w:tcPr>
          <w:p>
            <w:pPr>
              <w:pStyle w:val="BodyText"/>
              <w:keepNext w:val="0"/>
              <w:spacing w:after="80" w:line="252" w:lineRule="auto"/>
              <w:jc w:val="left"/>
            </w:pPr>
            <w:r>
              <w:rPr>
                <w:rFonts w:ascii="Calibri" w:hAnsi="Calibri"/>
                <w:sz w:val="17"/>
              </w:rPr>
              <w:t xml:space="preserve">Augustine,</w:t>
            </w:r>
            <w:r>
              <w:rPr>
                <w:rFonts w:ascii="Calibri" w:hAnsi="Calibri"/>
                <w:sz w:val="17"/>
              </w:rPr>
              <w:t xml:space="preserve"> </w:t>
            </w:r>
            <w:r>
              <w:rPr>
                <w:rFonts w:ascii="Calibri" w:hAnsi="Calibri"/>
                <w:i/>
                <w:iCs/>
                <w:sz w:val="17"/>
              </w:rPr>
              <w:t xml:space="preserve">City of God</w:t>
            </w:r>
            <w:r>
              <w:rPr>
                <w:rFonts w:ascii="Calibri" w:hAnsi="Calibri"/>
                <w:sz w:val="17"/>
              </w:rPr>
              <w:t xml:space="preserve">, I–XIII, Dods</w:t>
            </w:r>
          </w:p>
        </w:tc>
        <w:tc>
          <w:tcPr>
            <w:tcW w:type="dxa" w:w="7452"/>
          </w:tcPr>
          <w:p>
            <w:pPr>
              <w:pStyle w:val="BodyText"/>
              <w:keepNext w:val="0"/>
              <w:spacing w:after="80" w:line="252" w:lineRule="auto"/>
              <w:jc w:val="left"/>
            </w:pPr>
            <w:r>
              <w:rPr>
                <w:rFonts w:ascii="Calibri" w:hAnsi="Calibri"/>
                <w:sz w:val="17"/>
              </w:rPr>
              <w:t xml:space="preserve">https:/​/​raw.​githubusercontent.​com/​GITenberg/​The-​City-​of-​God-​Volume-​I_​45304/​master/​45304-​h/​45304-​h.​htm</w:t>
            </w:r>
          </w:p>
        </w:tc>
      </w:tr>
      <w:tr>
        <w:tc>
          <w:tcPr>
            <w:tcW w:type="dxa" w:w="2484"/>
          </w:tcPr>
          <w:p>
            <w:pPr>
              <w:pStyle w:val="BodyText"/>
              <w:keepNext w:val="0"/>
              <w:spacing w:after="80" w:line="252" w:lineRule="auto"/>
              <w:jc w:val="left"/>
            </w:pPr>
            <w:r>
              <w:rPr>
                <w:rFonts w:ascii="Calibri" w:hAnsi="Calibri"/>
                <w:sz w:val="17"/>
              </w:rPr>
              <w:t xml:space="preserve">Augustine,</w:t>
            </w:r>
            <w:r>
              <w:rPr>
                <w:rFonts w:ascii="Calibri" w:hAnsi="Calibri"/>
                <w:sz w:val="17"/>
              </w:rPr>
              <w:t xml:space="preserve"> </w:t>
            </w:r>
            <w:r>
              <w:rPr>
                <w:rFonts w:ascii="Calibri" w:hAnsi="Calibri"/>
                <w:i/>
                <w:iCs/>
                <w:sz w:val="17"/>
              </w:rPr>
              <w:t xml:space="preserve">Confessions</w:t>
            </w:r>
            <w:r>
              <w:rPr>
                <w:rFonts w:ascii="Calibri" w:hAnsi="Calibri"/>
                <w:sz w:val="17"/>
              </w:rPr>
              <w:t xml:space="preserve">, Pusey</w:t>
            </w:r>
          </w:p>
        </w:tc>
        <w:tc>
          <w:tcPr>
            <w:tcW w:type="dxa" w:w="7452"/>
          </w:tcPr>
          <w:p>
            <w:pPr>
              <w:pStyle w:val="BodyText"/>
              <w:keepNext w:val="0"/>
              <w:spacing w:after="80" w:line="252" w:lineRule="auto"/>
              <w:jc w:val="left"/>
            </w:pPr>
            <w:r>
              <w:rPr>
                <w:rFonts w:ascii="Calibri" w:hAnsi="Calibri"/>
                <w:sz w:val="17"/>
              </w:rPr>
              <w:t xml:space="preserve">https:/​/​raw.​githubusercontent.​com/​GITenberg/​The-​Confessions-​of-​St.​-​Augustine_​3296/​master/​3296.​txt</w:t>
            </w:r>
          </w:p>
        </w:tc>
      </w:tr>
      <w:tr>
        <w:tc>
          <w:tcPr>
            <w:tcW w:type="dxa" w:w="2484"/>
          </w:tcPr>
          <w:p>
            <w:pPr>
              <w:pStyle w:val="BodyText"/>
              <w:keepNext w:val="0"/>
              <w:spacing w:after="80" w:line="252" w:lineRule="auto"/>
              <w:jc w:val="left"/>
            </w:pPr>
            <w:r>
              <w:rPr>
                <w:rFonts w:ascii="Calibri" w:hAnsi="Calibri"/>
                <w:sz w:val="17"/>
              </w:rPr>
              <w:t xml:space="preserve">Archived specialist SEP prose corpus</w:t>
            </w:r>
          </w:p>
        </w:tc>
        <w:tc>
          <w:tcPr>
            <w:tcW w:type="dxa" w:w="7452"/>
          </w:tcPr>
          <w:p>
            <w:pPr>
              <w:pStyle w:val="BodyText"/>
              <w:keepNext w:val="0"/>
              <w:spacing w:after="80" w:line="252" w:lineRule="auto"/>
              <w:jc w:val="left"/>
            </w:pPr>
            <w:r>
              <w:rPr>
                <w:rFonts w:ascii="Calibri" w:hAnsi="Calibri"/>
                <w:sz w:val="17"/>
              </w:rPr>
              <w:t xml:space="preserve">https:/​/​raw.​githubusercontent.​com/​md-​mq/​philo2vec/​0d2351d43723f0d4a1fa662557626adb31a822ad/​data/​data.​zip</w:t>
            </w:r>
          </w:p>
        </w:tc>
      </w:tr>
    </w:tbl>
    <w:p>
      <w:pPr>
        <w:pStyle w:val="BodyText"/>
      </w:pPr>
      <w:r>
        <w:t xml:space="preserve">The final corpus link is a third-party archive committed by August 2016, not current publisher access. Its prose was consulted, but article revision headers and full bibliographies were absent from the extracted files; current wording, author metadata, and complete bibliographic verification remain outstanding. Original Stanford, MIT Classics, New Advent, CCEL, and Gutenberg destinations returned proxy</w:t>
      </w:r>
      <w:r>
        <w:t xml:space="preserve"> </w:t>
      </w:r>
      <w:r>
        <w:rPr>
          <w:rStyle w:val="VerbatimChar"/>
        </w:rPr>
        <w:t xml:space="preserve">CONNECT 403</w:t>
      </w:r>
      <w:r>
        <w:t xml:space="preserve">, even for an approved read-only curl request. An unrelated devotional GitHub adaptation of</w:t>
      </w:r>
      <w:r>
        <w:t xml:space="preserve"> </w:t>
      </w:r>
      <w:r>
        <w:rPr>
          <w:i/>
          <w:iCs/>
        </w:rPr>
        <w:t xml:space="preserve">Life of Moses</w:t>
      </w:r>
      <w:r>
        <w:t xml:space="preserve"> </w:t>
      </w:r>
      <w:r>
        <w:t xml:space="preserve">was inspected and rejected as primary evidence because its README expressly says it adapts spiritual themes rather than Gregory’s sentences. No secondary reconstruction has been represented as a direct primary reading.</w:t>
      </w:r>
    </w:p>
    <w:bookmarkEnd w:id="353"/>
    <w:bookmarkStart w:id="354" w:name="Xd61e81df11ca29acf187428ff8ae84db36cb9bd"/>
    <w:p>
      <w:pPr>
        <w:pStyle w:val="Heading3"/>
      </w:pPr>
      <w:r>
        <w:t xml:space="preserve">Continuity constraints for the constructive project</w:t>
      </w:r>
    </w:p>
    <w:p>
      <w:pPr>
        <w:pStyle w:val="FirstParagraph"/>
      </w:pPr>
      <w:r>
        <w:t xml:space="preserve">The compatible achievement is</w:t>
      </w:r>
      <w:r>
        <w:t xml:space="preserve"> </w:t>
      </w:r>
      <w:r>
        <w:rPr>
          <w:b/>
          <w:bCs/>
        </w:rPr>
        <w:t xml:space="preserve">real created perfection dependent on a non-receptive source, with different modes of possession</w:t>
      </w:r>
      <w:r>
        <w:t xml:space="preserve">. The historical materials do not license a single undifferentiated vocabulary of Forms, henads, divine ideas, and created images. A Newman-style assessment can treat the proposed architecture as preserving that problem and its central distinctions while assimilating explanatory resources. It cannot validate replacing necessitated procession with contingent creation without expressly identifying the modal disagreement. The philosophical minimum must therefore stop short of claiming that actuality explains itself, that underivedness proves infinity, or that non-exhaustion proves freedom. Those are the places where the apparent elegant minimum otherwise conceals its extra work.</w:t>
      </w:r>
    </w:p>
    <w:bookmarkEnd w:id="354"/>
    <w:bookmarkEnd w:id="355"/>
    <w:p>
      <w:pPr>
        <w:pStyle w:val="Heading1"/>
      </w:pPr>
      <w:r>
        <w:t xml:space="preserve">Appendix D — eastern-metaphysics.md</w:t>
      </w:r>
    </w:p>
    <w:p>
      <w:pPr>
        <w:pStyle w:val="FirstParagraph"/>
      </w:pPr>
      <w:r>
        <w:t xml:space="preserve">Original research file: https:/​/​participation-​6o4.​pages.​dev/​research/​eastern-​metaphysics.​md</w:t>
      </w:r>
    </w:p>
    <w:bookmarkStart w:id="369" w:name="X54c16223033ca0d65547b7c81698f4f798024b4"/>
    <w:p>
      <w:pPr>
        <w:pStyle w:val="Heading2"/>
      </w:pPr>
      <w:r>
        <w:t xml:space="preserve">Participation: Dionysius, Maximus, Eriugena, Cusa, and the Eastern qualification</w:t>
      </w:r>
    </w:p>
    <w:bookmarkStart w:id="358" w:name="evidence-status"/>
    <w:p>
      <w:pPr>
        <w:pStyle w:val="Heading3"/>
      </w:pPr>
      <w:r>
        <w:t xml:space="preserve">Evidence status</w:t>
      </w:r>
    </w:p>
    <w:p>
      <w:pPr>
        <w:pStyle w:val="FirstParagraph"/>
      </w:pPr>
      <w:r>
        <w:t xml:space="preserve">On 12 October 2026, publisher-site requests to CCEL, the Stanford Encyclopedia of Philosophy (SEP), New Advent, and Jasper Hopkins’s site failed with the cloud proxy’s</w:t>
      </w:r>
      <w:r>
        <w:t xml:space="preserve"> </w:t>
      </w:r>
      <w:r>
        <w:rPr>
          <w:rStyle w:val="VerbatimChar"/>
        </w:rPr>
        <w:t xml:space="preserve">403 Forbidden</w:t>
      </w:r>
      <w:r>
        <w:t xml:space="preserve">. Work continued through accessible public mirrors. Consultation now includes archived SEP prose on Dionysius, Eriugena, and Cusa, Dionysius’s Greek text in academic PG 3 OCR, and a primary translation of Damascene’s</w:t>
      </w:r>
      <w:r>
        <w:t xml:space="preserve"> </w:t>
      </w:r>
      <w:r>
        <w:rPr>
          <w:i/>
          <w:iCs/>
        </w:rPr>
        <w:t xml:space="preserve">On Holy Images</w:t>
      </w:r>
      <w:r>
        <w:t xml:space="preserve">. The SEP excerpts came from</w:t>
      </w:r>
      <w:r>
        <w:t xml:space="preserve"> </w:t>
      </w:r>
      <w:hyperlink r:id="rId284">
        <w:r>
          <w:rPr>
            <w:rStyle w:val="Hyperlink"/>
          </w:rPr>
          <w:t xml:space="preserve">philo2vec’s archived data</w:t>
        </w:r>
      </w:hyperlink>
      <w:r>
        <w:t xml:space="preserve">; its</w:t>
      </w:r>
      <w:r>
        <w:t xml:space="preserve"> </w:t>
      </w:r>
      <w:hyperlink r:id="rId356">
        <w:r>
          <w:rPr>
            <w:rStyle w:val="Hyperlink"/>
          </w:rPr>
          <w:t xml:space="preserve">README</w:t>
        </w:r>
      </w:hyperlink>
      <w:r>
        <w:t xml:space="preserve"> </w:t>
      </w:r>
      <w:r>
        <w:t xml:space="preserve">identifies a SEP crawler. The repository artifact existed by August 2016; individual article revisions remain undetermined. Body paragraphs are preserved, but headers, bibliography, and some block quotations are missing. These are</w:t>
      </w:r>
      <w:r>
        <w:t xml:space="preserve"> </w:t>
      </w:r>
      <w:r>
        <w:rPr>
          <w:b/>
          <w:bCs/>
        </w:rPr>
        <w:t xml:space="preserve">secondary mirror excerpts</w:t>
      </w:r>
      <w:r>
        <w:t xml:space="preserve">, not verified contemporary SEP editions.</w:t>
      </w:r>
    </w:p>
    <w:p>
      <w:pPr>
        <w:pStyle w:val="BodyText"/>
      </w:pPr>
      <w:r>
        <w:t xml:space="preserve">Damascene’s primary text is Mary H. Allies’s 1898 translation, Project Gutenberg #49917,</w:t>
      </w:r>
      <w:r>
        <w:t xml:space="preserve"> </w:t>
      </w:r>
      <w:hyperlink r:id="rId282">
        <w:r>
          <w:rPr>
            <w:rStyle w:val="Hyperlink"/>
          </w:rPr>
          <w:t xml:space="preserve">GITenberg mirror</w:t>
        </w:r>
      </w:hyperlink>
      <w:r>
        <w:t xml:space="preserve">. The file gives translator and University of Toronto scan provenance. Its antiquated translation even calls Dionysius</w:t>
      </w:r>
      <w:r>
        <w:t xml:space="preserve"> </w:t>
      </w:r>
      <w:r>
        <w:t xml:space="preserve">“</w:t>
      </w:r>
      <w:r>
        <w:t xml:space="preserve">the Carthusian</w:t>
      </w:r>
      <w:r>
        <w:t xml:space="preserve">”</w:t>
      </w:r>
      <w:r>
        <w:t xml:space="preserve"> </w:t>
      </w:r>
      <w:r>
        <w:t xml:space="preserve">in one passage—an anachronism not to repeat. Dionysius’s</w:t>
      </w:r>
      <w:r>
        <w:t xml:space="preserve"> </w:t>
      </w:r>
      <w:hyperlink r:id="rId268">
        <w:r>
          <w:rPr>
            <w:rStyle w:val="Hyperlink"/>
          </w:rPr>
          <w:t xml:space="preserve">Greek OCR witness</w:t>
        </w:r>
      </w:hyperlink>
      <w:r>
        <w:t xml:space="preserve"> </w:t>
      </w:r>
      <w:r>
        <w:t xml:space="preserve">comes from Calfa/GREgORI’s academic</w:t>
      </w:r>
      <w:r>
        <w:t xml:space="preserve"> </w:t>
      </w:r>
      <w:hyperlink r:id="rId357">
        <w:r>
          <w:rPr>
            <w:rStyle w:val="Hyperlink"/>
          </w:rPr>
          <w:t xml:space="preserve">PG project</w:t>
        </w:r>
      </w:hyperlink>
      <w:r>
        <w:t xml:space="preserve">, which explicitly calls its data unproofread and Greek-only. Readable relevant clauses were checked; exact wording needs collation against a critical edition. Modern books below remain recommendations, not newly consulted evidence. Other primary loci remain</w:t>
      </w:r>
      <w:r>
        <w:t xml:space="preserve"> </w:t>
      </w:r>
      <w:r>
        <w:rPr>
          <w:b/>
          <w:bCs/>
        </w:rPr>
        <w:t xml:space="preserve">pending direct checking</w:t>
      </w:r>
      <w:r>
        <w:t xml:space="preserve">.</w:t>
      </w:r>
    </w:p>
    <w:p>
      <w:pPr>
        <w:pStyle w:val="BodyText"/>
      </w:pPr>
      <w:r>
        <w:t xml:space="preserve">The central result is nevertheless clear enough for a constructive working model: dependence, causal likeness, nonconstitution, infinity, and contingent volition perform different jobs. No one of these authors licenses deriving all five from the word</w:t>
      </w:r>
      <w:r>
        <w:t xml:space="preserve"> </w:t>
      </w:r>
      <w:r>
        <w:t xml:space="preserve">“</w:t>
      </w:r>
      <w:r>
        <w:t xml:space="preserve">participation.</w:t>
      </w:r>
      <w:r>
        <w:t xml:space="preserve">”</w:t>
      </w:r>
    </w:p>
    <w:bookmarkEnd w:id="358"/>
    <w:bookmarkStart w:id="360" w:name="X33fc4c56e668a45ee41cbef7a776ec3deb81e2f"/>
    <w:p>
      <w:pPr>
        <w:pStyle w:val="Heading3"/>
      </w:pPr>
      <w:r>
        <w:t xml:space="preserve">1. Pseudo-Dionysius: causal precontainment is an additional bridge</w:t>
      </w:r>
    </w:p>
    <w:p>
      <w:pPr>
        <w:pStyle w:val="FirstParagraph"/>
      </w:pPr>
      <w:r>
        <w:rPr>
          <w:b/>
          <w:bCs/>
        </w:rPr>
        <w:t xml:space="preserve">Primary loci:</w:t>
      </w:r>
      <w:r>
        <w:t xml:space="preserve"> </w:t>
      </w:r>
      <w:r>
        <w:rPr>
          <w:i/>
          <w:iCs/>
        </w:rPr>
        <w:t xml:space="preserve">Divine Names</w:t>
      </w:r>
      <w:r>
        <w:t xml:space="preserve"> </w:t>
      </w:r>
      <w:r>
        <w:t xml:space="preserve">II.5–6 (seal and reception), V.8 (exemplars/divine wills, conventionally 824C–825A), and IX.6–7 (similarity/dissimilarity) were located and read in the Greek OCR witness. II.11, XI.6 (being-itself and participations), and XIII.2–3 (unity) remain checking targets. Reliable modern translation: Colm Luibheid, with Paul Rorem,</w:t>
      </w:r>
      <w:r>
        <w:t xml:space="preserve"> </w:t>
      </w:r>
      <w:r>
        <w:rPr>
          <w:i/>
          <w:iCs/>
        </w:rPr>
        <w:t xml:space="preserve">Pseudo-Dionysius: The Complete Works</w:t>
      </w:r>
      <w:r>
        <w:t xml:space="preserve"> </w:t>
      </w:r>
      <w:r>
        <w:t xml:space="preserve">(1987). Older translation: C. E. Rolt,</w:t>
      </w:r>
      <w:r>
        <w:t xml:space="preserve"> </w:t>
      </w:r>
      <w:r>
        <w:rPr>
          <w:i/>
          <w:iCs/>
        </w:rPr>
        <w:t xml:space="preserve">Dionysius the Areopagite on the Divine Names and the Mystical Theology</w:t>
      </w:r>
      <w:r>
        <w:t xml:space="preserve"> </w:t>
      </w:r>
      <w:r>
        <w:t xml:space="preserve">(1920),</w:t>
      </w:r>
      <w:r>
        <w:t xml:space="preserve"> </w:t>
      </w:r>
      <w:hyperlink r:id="rId359">
        <w:r>
          <w:rPr>
            <w:rStyle w:val="Hyperlink"/>
          </w:rPr>
          <w:t xml:space="preserve">CCEL</w:t>
        </w:r>
      </w:hyperlink>
      <w:r>
        <w:t xml:space="preserve">. Publisher orientation:</w:t>
      </w:r>
      <w:r>
        <w:t xml:space="preserve"> </w:t>
      </w:r>
      <w:hyperlink r:id="rId288">
        <w:r>
          <w:rPr>
            <w:rStyle w:val="Hyperlink"/>
          </w:rPr>
          <w:t xml:space="preserve">SEP entry</w:t>
        </w:r>
      </w:hyperlink>
      <w:r>
        <w:t xml:space="preserve">.</w:t>
      </w:r>
    </w:p>
    <w:p>
      <w:pPr>
        <w:pStyle w:val="BodyText"/>
      </w:pPr>
      <w:r>
        <w:rPr>
          <w:b/>
          <w:bCs/>
        </w:rPr>
        <w:t xml:space="preserve">Checked primary content, with OCR limitations:</w:t>
      </w:r>
      <w:r>
        <w:t xml:space="preserve"> </w:t>
      </w:r>
      <w:r>
        <w:t xml:space="preserve">II.5–6 describes participation in the whole Godhead without participation in a part; different seal-impressions are attributed to different recipients. V.8 describes exemplars as logoi preexisting unifiedly in God and as good divine wills, with one sun/many receptions as an analogy. IX.6–7 distinguishes reversible likeness between coordinate things from nonreversible cause/effect likeness, and combines likeness with dissimilarity. These do not amount to modern proofs of the whole proposed architecture.</w:t>
      </w:r>
      <w:r>
        <w:t xml:space="preserve"> </w:t>
      </w:r>
      <w:r>
        <w:rPr>
          <w:b/>
          <w:bCs/>
        </w:rPr>
        <w:t xml:space="preserve">Checked secondary excerpt:</w:t>
      </w:r>
      <w:r>
        <w:t xml:space="preserve"> </w:t>
      </w:r>
      <w:r>
        <w:t xml:space="preserve">SEP associates direct divine dependence with I.7, 596C–597A, and distinguishes causal divine names from their superessential attribution. It warns against treating God as the most proper creaturely instance. XI.6 still needs primary checking before asserting that its participations exclude independent Platonic hypostases.</w:t>
      </w:r>
    </w:p>
    <w:p>
      <w:pPr>
        <w:pStyle w:val="BodyText"/>
      </w:pPr>
      <w:r>
        <w:rPr>
          <w:b/>
          <w:bCs/>
        </w:rPr>
        <w:t xml:space="preserve">Reasonable reconstruction:</w:t>
      </w:r>
      <w:r>
        <w:t xml:space="preserve"> </w:t>
      </w:r>
      <w:r>
        <w:t xml:space="preserve">causal precontainment makes finite actuality expressive of its origin because the source is an intelligible cause of the effect’s determinate good. Mere dependence is insufficient: a thing can depend on another for existence without resembling it in every respect. Dionysius adds a causal account of the perfections that appear in effects. He does not prove this bridge from an uninterpreted causal arrow.</w:t>
      </w:r>
    </w:p>
    <w:p>
      <w:pPr>
        <w:pStyle w:val="BodyText"/>
      </w:pPr>
      <w:r>
        <w:rPr>
          <w:b/>
          <w:bCs/>
        </w:rPr>
        <w:t xml:space="preserve">Constructive reuse:</w:t>
      </w:r>
      <w:r>
        <w:t xml:space="preserve"> </w:t>
      </w:r>
      <w:r>
        <w:t xml:space="preserve">define a perfection correspondence between a finite realization and its source, while leaving the source’s mode unrepresented by the creature’s limitation. Do not put</w:t>
      </w:r>
      <w:r>
        <w:t xml:space="preserve"> </w:t>
      </w:r>
      <w:r>
        <w:t xml:space="preserve">“</w:t>
      </w:r>
      <w:r>
        <w:t xml:space="preserve">God already contains every creaturely feature in the same sense</w:t>
      </w:r>
      <w:r>
        <w:t xml:space="preserve">”</w:t>
      </w:r>
      <w:r>
        <w:t xml:space="preserve"> </w:t>
      </w:r>
      <w:r>
        <w:t xml:space="preserve">into the definition. Privations, accidents, and material modes require exclusions and qualifications. The bridge must identify positive actuality rather than license an inference from every effect-predicate to a divine predicate.</w:t>
      </w:r>
    </w:p>
    <w:p>
      <w:pPr>
        <w:pStyle w:val="BodyText"/>
      </w:pPr>
      <w:r>
        <w:t xml:space="preserve">“</w:t>
      </w:r>
      <w:r>
        <w:t xml:space="preserve">Beyond being</w:t>
      </w:r>
      <w:r>
        <w:t xml:space="preserve">”</w:t>
      </w:r>
      <w:r>
        <w:t xml:space="preserve"> </w:t>
      </w:r>
      <w:r>
        <w:t xml:space="preserve">also resists treating God and creatures as species in a shared ontological genus. This is a metaphysical and semantic commitment, not something obtained merely from unequal quantities of a common property. Nor should Dionysius’s contrast between the unparticipated cause and participated gifts be prematurely translated into either Aquinas’s account of created perfections or Palamas’s mature account of uncreated energies.</w:t>
      </w:r>
    </w:p>
    <w:p>
      <w:pPr>
        <w:pStyle w:val="BodyText"/>
      </w:pPr>
      <w:r>
        <w:rPr>
          <w:b/>
          <w:bCs/>
        </w:rPr>
        <w:t xml:space="preserve">Interpretive pressure:</w:t>
      </w:r>
      <w:r>
        <w:t xml:space="preserve"> </w:t>
      </w:r>
      <w:r>
        <w:t xml:space="preserve">Andrew Louth,</w:t>
      </w:r>
      <w:r>
        <w:t xml:space="preserve"> </w:t>
      </w:r>
      <w:r>
        <w:rPr>
          <w:i/>
          <w:iCs/>
        </w:rPr>
        <w:t xml:space="preserve">Denys the Areopagite</w:t>
      </w:r>
      <w:r>
        <w:t xml:space="preserve"> </w:t>
      </w:r>
      <w:r>
        <w:t xml:space="preserve">(1989), and Paul Rorem,</w:t>
      </w:r>
      <w:r>
        <w:t xml:space="preserve"> </w:t>
      </w:r>
      <w:r>
        <w:rPr>
          <w:i/>
          <w:iCs/>
        </w:rPr>
        <w:t xml:space="preserve">Pseudo-Dionysius: A Commentary on the Texts and an Introduction to Their Influence</w:t>
      </w:r>
      <w:r>
        <w:t xml:space="preserve"> </w:t>
      </w:r>
      <w:r>
        <w:t xml:space="preserve">(1993), provide theological and textual controls. Eric D. Perl,</w:t>
      </w:r>
      <w:r>
        <w:t xml:space="preserve"> </w:t>
      </w:r>
      <w:r>
        <w:rPr>
          <w:i/>
          <w:iCs/>
        </w:rPr>
        <w:t xml:space="preserve">Theophany: The Neoplatonic Philosophy of Dionysius the Areopagite</w:t>
      </w:r>
      <w:r>
        <w:t xml:space="preserve"> </w:t>
      </w:r>
      <w:r>
        <w:t xml:space="preserve">(2007), develops a strong manifestation reading. These should be compared rather than treating manifestation as the uncontested meaning of Christian creation. The consulted SEP excerpt rejects the easy generalization that pagan Neoplatonism is necessary, mediated emanation whereas Dionysius alone supplies freedom and immediate causation. Do not make a hostile caricature do the rival-model test’s work. Necessary metaphysical procession and freely willed creation are distinguishable models; invoking divine wills does not by itself settle their modal interpretation.</w:t>
      </w:r>
    </w:p>
    <w:bookmarkEnd w:id="360"/>
    <w:bookmarkStart w:id="361" w:name="Xb1f8af1545747d2bfa37d86d81f0674b7f6a1af"/>
    <w:p>
      <w:pPr>
        <w:pStyle w:val="Heading3"/>
      </w:pPr>
      <w:r>
        <w:t xml:space="preserve">2. Maximus: logoi explain intelligibility, not an automatic modal inference</w:t>
      </w:r>
    </w:p>
    <w:p>
      <w:pPr>
        <w:pStyle w:val="FirstParagraph"/>
      </w:pPr>
      <w:r>
        <w:rPr>
          <w:b/>
          <w:bCs/>
        </w:rPr>
        <w:t xml:space="preserve">Primary locus:</w:t>
      </w:r>
      <w:r>
        <w:t xml:space="preserve"> </w:t>
      </w:r>
      <w:r>
        <w:rPr>
          <w:i/>
          <w:iCs/>
        </w:rPr>
        <w:t xml:space="preserve">Ambiguum</w:t>
      </w:r>
      <w:r>
        <w:t xml:space="preserve"> </w:t>
      </w:r>
      <w:r>
        <w:t xml:space="preserve">7, PG 91, 1077–1081, was read in a</w:t>
      </w:r>
      <w:r>
        <w:t xml:space="preserve"> </w:t>
      </w:r>
      <w:hyperlink r:id="rId270">
        <w:r>
          <w:rPr>
            <w:rStyle w:val="Hyperlink"/>
          </w:rPr>
          <w:t xml:space="preserve">Greek transcription mirror</w:t>
        </w:r>
      </w:hyperlink>
      <w:r>
        <w:t xml:space="preserve">, file labels</w:t>
      </w:r>
      <w:r>
        <w:t xml:space="preserve"> </w:t>
      </w:r>
      <w:r>
        <w:rPr>
          <w:rStyle w:val="VerbatimChar"/>
        </w:rPr>
        <w:t xml:space="preserve">ΠΡ 2.11–2.16</w:t>
      </w:r>
      <w:r>
        <w:t xml:space="preserve">. Its edition and transcription provenance are undocumented:</w:t>
      </w:r>
      <w:r>
        <w:t xml:space="preserve"> </w:t>
      </w:r>
      <w:r>
        <w:rPr>
          <w:b/>
          <w:bCs/>
        </w:rPr>
        <w:t xml:space="preserve">a provisional primary-text witness, not a verified reliable edition</w:t>
      </w:r>
      <w:r>
        <w:t xml:space="preserve">. Collate with Nicholas Constas,</w:t>
      </w:r>
      <w:r>
        <w:t xml:space="preserve"> </w:t>
      </w:r>
      <w:r>
        <w:rPr>
          <w:i/>
          <w:iCs/>
        </w:rPr>
        <w:t xml:space="preserve">On Difficulties in the Church Fathers: The Ambigua</w:t>
      </w:r>
      <w:r>
        <w:t xml:space="preserve">, 2 vols. (2014), and the wider standard locus 1077C–1085A.</w:t>
      </w:r>
    </w:p>
    <w:p>
      <w:pPr>
        <w:pStyle w:val="BodyText"/>
      </w:pPr>
      <w:r>
        <w:rPr>
          <w:b/>
          <w:bCs/>
        </w:rPr>
        <w:t xml:space="preserve">Content located in the provisional witness:</w:t>
      </w:r>
      <w:r>
        <w:t xml:space="preserve"> </w:t>
      </w:r>
      <w:r>
        <w:t xml:space="preserve">differentiated logoi refer creatures to the one Logos. Good divine willing brings things from nonbeing according to their logoi and fitting times. Actual creatures are not actual simultaneously with their logoi or with their being known by God; they acquire actuality at their appropriate times. The same passage contrasts the infinite and finite, unmeasured and measured, and concludes with the one Logos/many logoi. This supports intelligibility/actualization and mode distinctions but awaits reliable-edition collation. Maximus’s account is Christological and teleological, not a neutral modern calculus.</w:t>
      </w:r>
    </w:p>
    <w:p>
      <w:pPr>
        <w:pStyle w:val="BodyText"/>
      </w:pPr>
      <w:r>
        <w:rPr>
          <w:b/>
          <w:bCs/>
        </w:rPr>
        <w:t xml:space="preserve">Reasonable reconstruction:</w:t>
      </w:r>
      <w:r>
        <w:t xml:space="preserve"> </w:t>
      </w:r>
      <w:r>
        <w:t xml:space="preserve">distinguish a creature’s intelligibility from its realized existence. An intelligible divine intention does not supply an independently existing essence that subsequently receives actuality. Nor is the creature’s realization an acquisition of knowledge by God. The distinction between intelligibility and existence permits a question about contingency without answering it by definition.</w:t>
      </w:r>
    </w:p>
    <w:p>
      <w:pPr>
        <w:pStyle w:val="BodyText"/>
      </w:pPr>
      <w:r>
        <w:rPr>
          <w:b/>
          <w:bCs/>
        </w:rPr>
        <w:t xml:space="preserve">Constructive reuse:</w:t>
      </w:r>
      <w:r>
        <w:t xml:space="preserve"> </w:t>
      </w:r>
      <w:r>
        <w:t xml:space="preserve">a single source can ground many determinate intentions concerning creatures. However, the proposal that every such difference belongs exclusively to the source’s relation to a created effect, rather than to its intrinsic being, is a modern metaphysical reconstruction; it should not be attributed to Maximus merely because logoi are united in the Logos. Likewise, substituting the word</w:t>
      </w:r>
      <w:r>
        <w:t xml:space="preserve"> </w:t>
      </w:r>
      <w:r>
        <w:t xml:space="preserve">“</w:t>
      </w:r>
      <w:r>
        <w:t xml:space="preserve">formalities</w:t>
      </w:r>
      <w:r>
        <w:t xml:space="preserve">”</w:t>
      </w:r>
      <w:r>
        <w:t xml:space="preserve"> </w:t>
      </w:r>
      <w:r>
        <w:t xml:space="preserve">imports another school’s technical apparatus.</w:t>
      </w:r>
    </w:p>
    <w:p>
      <w:pPr>
        <w:pStyle w:val="BodyText"/>
      </w:pPr>
      <w:r>
        <w:rPr>
          <w:b/>
          <w:bCs/>
        </w:rPr>
        <w:t xml:space="preserve">Modal test:</w:t>
      </w:r>
      <w:r>
        <w:t xml:space="preserve"> </w:t>
      </w:r>
      <w:r>
        <w:t xml:space="preserve">an infinite source with inexhaustible logoi can still be stipulated to produce one necessary world, necessarily produce every admissible creature, or necessarily produce some world while having alternatives concerning which world. All three models preserve non-exhaustion. Contingency requires another premise about volition or the absence of a necessitating relation between divine fullness and an ad-extra result. The logoi doctrine gives resources for that premise, not a proof of it from infinity alone.</w:t>
      </w:r>
    </w:p>
    <w:p>
      <w:pPr>
        <w:pStyle w:val="BodyText"/>
      </w:pPr>
      <w:r>
        <w:t xml:space="preserve">Specialist controls: Lars Thunberg,</w:t>
      </w:r>
      <w:r>
        <w:t xml:space="preserve"> </w:t>
      </w:r>
      <w:r>
        <w:rPr>
          <w:i/>
          <w:iCs/>
        </w:rPr>
        <w:t xml:space="preserve">Microcosm and Mediator</w:t>
      </w:r>
      <w:r>
        <w:t xml:space="preserve">, 2nd ed. (1995); Andrew Louth,</w:t>
      </w:r>
      <w:r>
        <w:t xml:space="preserve"> </w:t>
      </w:r>
      <w:r>
        <w:rPr>
          <w:i/>
          <w:iCs/>
        </w:rPr>
        <w:t xml:space="preserve">Maximus the Confessor</w:t>
      </w:r>
      <w:r>
        <w:t xml:space="preserve"> </w:t>
      </w:r>
      <w:r>
        <w:t xml:space="preserve">(1996); Torstein Tollefsen,</w:t>
      </w:r>
      <w:r>
        <w:t xml:space="preserve"> </w:t>
      </w:r>
      <w:r>
        <w:rPr>
          <w:i/>
          <w:iCs/>
        </w:rPr>
        <w:t xml:space="preserve">The Christocentric Cosmology of St Maximus the Confessor</w:t>
      </w:r>
      <w:r>
        <w:t xml:space="preserve"> </w:t>
      </w:r>
      <w:r>
        <w:t xml:space="preserve">(2008); Paul M. Blowers,</w:t>
      </w:r>
      <w:r>
        <w:t xml:space="preserve"> </w:t>
      </w:r>
      <w:r>
        <w:rPr>
          <w:i/>
          <w:iCs/>
        </w:rPr>
        <w:t xml:space="preserve">Maximus the Confessor: Jesus Christ and the Transfiguration of the World</w:t>
      </w:r>
      <w:r>
        <w:t xml:space="preserve"> </w:t>
      </w:r>
      <w:r>
        <w:t xml:space="preserve">(2016). Compare their accounts of participation, personhood, and divine willing; do not flatten Maximus’s Christological fulfillment into generic emanation.</w:t>
      </w:r>
    </w:p>
    <w:bookmarkEnd w:id="361"/>
    <w:bookmarkStart w:id="363" w:name="X18edbcf4b3e7a1499018429c27d3ce7983a98b8"/>
    <w:p>
      <w:pPr>
        <w:pStyle w:val="Heading3"/>
      </w:pPr>
      <w:r>
        <w:t xml:space="preserve">3. Eriugena: theophany exposes the constitution problem</w:t>
      </w:r>
    </w:p>
    <w:p>
      <w:pPr>
        <w:pStyle w:val="FirstParagraph"/>
      </w:pPr>
      <w:r>
        <w:rPr>
          <w:b/>
          <w:bCs/>
        </w:rPr>
        <w:t xml:space="preserve">Primary loci, now located through secondary excerpts but not checked directly:</w:t>
      </w:r>
      <w:r>
        <w:t xml:space="preserve"> </w:t>
      </w:r>
      <w:r>
        <w:rPr>
          <w:i/>
          <w:iCs/>
        </w:rPr>
        <w:t xml:space="preserve">Periphyseon</w:t>
      </w:r>
      <w:r>
        <w:t xml:space="preserve"> </w:t>
      </w:r>
      <w:r>
        <w:t xml:space="preserve">I, PL 122, 441A–442B, for the fourfold division; I.446D and I.455B for divine self-manifestation; Book II for primordial causes; V.910D–912B for cause and effect as correlative terms; IV.796B for continuing Creator/created distinction. Use Édouard Jeauneau’s critical edition,</w:t>
      </w:r>
      <w:r>
        <w:t xml:space="preserve"> </w:t>
      </w:r>
      <w:r>
        <w:rPr>
          <w:i/>
          <w:iCs/>
        </w:rPr>
        <w:t xml:space="preserve">Iohannis Scotti seu Eriugenae Periphyseon</w:t>
      </w:r>
      <w:r>
        <w:t xml:space="preserve">, CCCM 161–165 (1996–2003), and I. P. Sheldon-Williams’s translation, revised by John J. O’Meara (1987). Publisher entry:</w:t>
      </w:r>
      <w:r>
        <w:t xml:space="preserve"> </w:t>
      </w:r>
      <w:hyperlink r:id="rId362">
        <w:r>
          <w:rPr>
            <w:rStyle w:val="Hyperlink"/>
          </w:rPr>
          <w:t xml:space="preserve">SEP</w:t>
        </w:r>
      </w:hyperlink>
      <w:r>
        <w:t xml:space="preserve">; its body prose was recovered through the archive above.</w:t>
      </w:r>
    </w:p>
    <w:p>
      <w:pPr>
        <w:pStyle w:val="BodyText"/>
      </w:pPr>
      <w:r>
        <w:rPr>
          <w:b/>
          <w:bCs/>
        </w:rPr>
        <w:t xml:space="preserve">Explicit doctrine, subject to textual checking:</w:t>
      </w:r>
      <w:r>
        <w:t xml:space="preserve"> </w:t>
      </w:r>
      <w:r>
        <w:t xml:space="preserve">the fourfold division includes uncreated creating nature, created creating nature, created noncreating nature, and nature neither creating nor created. Primordial causes and theophanies articulate procession and return. The divine exceeds determinate predication, while created manifestation permits divine intelligibility.</w:t>
      </w:r>
    </w:p>
    <w:p>
      <w:pPr>
        <w:pStyle w:val="BodyText"/>
      </w:pPr>
      <w:r>
        <w:rPr>
          <w:b/>
          <w:bCs/>
        </w:rPr>
        <w:t xml:space="preserve">Reasonable reconstruction:</w:t>
      </w:r>
      <w:r>
        <w:t xml:space="preserve"> </w:t>
      </w:r>
      <w:r>
        <w:t xml:space="preserve">theophany shows how finite things can reveal their source without an independent Form standing between them and God. It also raises a sharper question than a generic likeness theory: is manifestation an effect of divine actuality, or a stage in the constitution of divine actuality?</w:t>
      </w:r>
    </w:p>
    <w:p>
      <w:pPr>
        <w:pStyle w:val="BodyText"/>
      </w:pPr>
      <w:r>
        <w:rPr>
          <w:b/>
          <w:bCs/>
        </w:rPr>
        <w:t xml:space="preserve">Constructive retrieval:</w:t>
      </w:r>
      <w:r>
        <w:t xml:space="preserve"> </w:t>
      </w:r>
      <w:r>
        <w:t xml:space="preserve">take the first possibility while explicitly rejecting the latter as a basis for the target system. A manifestation relation cannot replace dependence unless an argument establishes that the manifesting finite actuality is caused and sustained by its source. And the source’s being manifest must not be treated as the acquisition of a perfection missing before manifestation.</w:t>
      </w:r>
    </w:p>
    <w:p>
      <w:pPr>
        <w:pStyle w:val="BodyText"/>
      </w:pPr>
      <w:r>
        <w:rPr>
          <w:b/>
          <w:bCs/>
        </w:rPr>
        <w:t xml:space="preserve">Disagreement:</w:t>
      </w:r>
      <w:r>
        <w:t xml:space="preserve"> </w:t>
      </w:r>
      <w:r>
        <w:t xml:space="preserve">“</w:t>
      </w:r>
      <w:r>
        <w:t xml:space="preserve">pantheist</w:t>
      </w:r>
      <w:r>
        <w:t xml:space="preserve">”</w:t>
      </w:r>
      <w:r>
        <w:t xml:space="preserve"> </w:t>
      </w:r>
      <w:r>
        <w:t xml:space="preserve">is not an adequate summary, but neither is a declaration that all troubling language is harmless metaphor. The consulted SEP prose explicitly discusses both cosmological identity language and rejection of God as literal genus or whole; it also juxtaposes Creator/created difference (IV.796B) with image/exemplar identity except in subject (IV.778A). It therefore confirms that the problem cannot be erased by selecting only reassuring sentences. Cause and effect’s semantic correlation at V.910D–912B must also be distinguished from a proof that divine actuality ontologically depends on creatures. Dermot Moran,</w:t>
      </w:r>
      <w:r>
        <w:t xml:space="preserve"> </w:t>
      </w:r>
      <w:r>
        <w:rPr>
          <w:i/>
          <w:iCs/>
        </w:rPr>
        <w:t xml:space="preserve">The Philosophy of John Scottus Eriugena</w:t>
      </w:r>
      <w:r>
        <w:t xml:space="preserve"> </w:t>
      </w:r>
      <w:r>
        <w:t xml:space="preserve">(1989), and Deirdre Carabine,</w:t>
      </w:r>
      <w:r>
        <w:t xml:space="preserve"> </w:t>
      </w:r>
      <w:r>
        <w:rPr>
          <w:i/>
          <w:iCs/>
        </w:rPr>
        <w:t xml:space="preserve">John Scottus Eriugena</w:t>
      </w:r>
      <w:r>
        <w:t xml:space="preserve"> </w:t>
      </w:r>
      <w:r>
        <w:t xml:space="preserve">(2000), are controls for further primary work. The synthesis may retrieve non-exhaustive theophany while refusing constitutive divine self-manifestation; this is a</w:t>
      </w:r>
      <w:r>
        <w:t xml:space="preserve"> </w:t>
      </w:r>
      <w:r>
        <w:rPr>
          <w:b/>
          <w:bCs/>
        </w:rPr>
        <w:t xml:space="preserve">selection and correction</w:t>
      </w:r>
      <w:r>
        <w:t xml:space="preserve">, not attribution of the final system to Eriugena.</w:t>
      </w:r>
    </w:p>
    <w:bookmarkEnd w:id="363"/>
    <w:bookmarkStart w:id="365" w:name="X2cdf5793a6611a21948949d93809d2d9dd259dd"/>
    <w:p>
      <w:pPr>
        <w:pStyle w:val="Heading3"/>
      </w:pPr>
      <w:r>
        <w:t xml:space="preserve">4. Nicholas of Cusa: enfolding needs a nonliteral ontology</w:t>
      </w:r>
    </w:p>
    <w:p>
      <w:pPr>
        <w:pStyle w:val="FirstParagraph"/>
      </w:pPr>
      <w:r>
        <w:rPr>
          <w:b/>
          <w:bCs/>
        </w:rPr>
        <w:t xml:space="preserve">Primary loci to check:</w:t>
      </w:r>
      <w:r>
        <w:t xml:space="preserve"> </w:t>
      </w:r>
      <w:r>
        <w:rPr>
          <w:i/>
          <w:iCs/>
        </w:rPr>
        <w:t xml:space="preserve">De docta ignorantia</w:t>
      </w:r>
      <w:r>
        <w:t xml:space="preserve"> </w:t>
      </w:r>
      <w:r>
        <w:t xml:space="preserve">I.2–3 (absolute maximum and the limits of precision), II.2–4 (creation, enfolding/unfolding, the contracted universe). Chapter II.3 is confirmed as the</w:t>
      </w:r>
      <w:r>
        <w:t xml:space="preserve"> </w:t>
      </w:r>
      <w:r>
        <w:rPr>
          <w:i/>
          <w:iCs/>
        </w:rPr>
        <w:t xml:space="preserve">complicatio/explicatio</w:t>
      </w:r>
      <w:r>
        <w:t xml:space="preserve"> </w:t>
      </w:r>
      <w:r>
        <w:t xml:space="preserve">locus by an embedded Hopkins quotation in the consulted SEP excerpt. That excerpt expressly distinguishes creatures’ dependence and divine presence from identity, and distinguishes the universe’s unboundedness from God’s ontological unlimitedness. Consult Jasper Hopkins,</w:t>
      </w:r>
      <w:r>
        <w:t xml:space="preserve"> </w:t>
      </w:r>
      <w:r>
        <w:rPr>
          <w:i/>
          <w:iCs/>
        </w:rPr>
        <w:t xml:space="preserve">Nicholas of Cusa on Learned Ignorance: A Translation and an Appraisal</w:t>
      </w:r>
      <w:r>
        <w:t xml:space="preserve">, 2nd ed. (1985), available from his</w:t>
      </w:r>
      <w:r>
        <w:t xml:space="preserve"> </w:t>
      </w:r>
      <w:hyperlink r:id="rId364">
        <w:r>
          <w:rPr>
            <w:rStyle w:val="Hyperlink"/>
          </w:rPr>
          <w:t xml:space="preserve">translation site</w:t>
        </w:r>
      </w:hyperlink>
      <w:r>
        <w:t xml:space="preserve">, currently blocked here.</w:t>
      </w:r>
      <w:r>
        <w:t xml:space="preserve"> </w:t>
      </w:r>
      <w:r>
        <w:rPr>
          <w:i/>
          <w:iCs/>
        </w:rPr>
        <w:t xml:space="preserve">Apologia doctae ignorantiae</w:t>
      </w:r>
      <w:r>
        <w:t xml:space="preserve"> </w:t>
      </w:r>
      <w:r>
        <w:t xml:space="preserve">answers Johannes Wenck’s criticism and is a further check on alleged collapse of Creator and creation.</w:t>
      </w:r>
    </w:p>
    <w:p>
      <w:pPr>
        <w:pStyle w:val="BodyText"/>
      </w:pPr>
      <w:r>
        <w:rPr>
          <w:b/>
          <w:bCs/>
        </w:rPr>
        <w:t xml:space="preserve">Explicit doctrine, subject to textual checking:</w:t>
      </w:r>
      <w:r>
        <w:t xml:space="preserve"> </w:t>
      </w:r>
      <w:r>
        <w:t xml:space="preserve">the absolute maximum exceeds the determinate comparative order; the universe is contracted rather than absolute. Enfolding/unfolding expresses the unity of the source and differentiation of finite realization. Learned ignorance preserves the failure of a finite conception to attain divine precision.</w:t>
      </w:r>
    </w:p>
    <w:p>
      <w:pPr>
        <w:pStyle w:val="BodyText"/>
      </w:pPr>
      <w:r>
        <w:rPr>
          <w:b/>
          <w:bCs/>
        </w:rPr>
        <w:t xml:space="preserve">Reasonable reconstruction:</w:t>
      </w:r>
      <w:r>
        <w:t xml:space="preserve"> </w:t>
      </w:r>
      <w:r>
        <w:t xml:space="preserve">a creature’s determination does not measure divine actuality. This supports the distinction between the finite character of participation and the unbounded source. It does not show that finite determination is unreal or that incompatible creaturely predicates are interchangeable.</w:t>
      </w:r>
    </w:p>
    <w:p>
      <w:pPr>
        <w:pStyle w:val="BodyText"/>
      </w:pPr>
      <w:r>
        <w:rPr>
          <w:b/>
          <w:bCs/>
        </w:rPr>
        <w:t xml:space="preserve">Constructive reuse:</w:t>
      </w:r>
      <w:r>
        <w:t xml:space="preserve"> </w:t>
      </w:r>
      <w:r>
        <w:t xml:space="preserve">treat enfolding as causal and intelligible grounding, not literal set-membership, spatial containment, or whole-part composition. Unfolding then signifies a differentiated effect rather than the source being cut into determinate pieces. This interpretation needs an independently stated nonconstitution condition; the image alone does not enforce it.</w:t>
      </w:r>
    </w:p>
    <w:p>
      <w:pPr>
        <w:pStyle w:val="BodyText"/>
      </w:pPr>
      <w:r>
        <w:t xml:space="preserve">Do not turn the coincidence of opposites into unrestricted dialetheism. Nor does an appeal to ineffability prove consistency: the system still owes a coherent account of determinate created effects. Clyde Lee Miller,</w:t>
      </w:r>
      <w:r>
        <w:t xml:space="preserve"> </w:t>
      </w:r>
      <w:r>
        <w:rPr>
          <w:i/>
          <w:iCs/>
        </w:rPr>
        <w:t xml:space="preserve">Reading Cusanus: Metaphor and Dialectic in a Conjectural Universe</w:t>
      </w:r>
      <w:r>
        <w:t xml:space="preserve"> </w:t>
      </w:r>
      <w:r>
        <w:t xml:space="preserve">(2003), and Peter J. Casarella, ed.,</w:t>
      </w:r>
      <w:r>
        <w:t xml:space="preserve"> </w:t>
      </w:r>
      <w:r>
        <w:rPr>
          <w:i/>
          <w:iCs/>
        </w:rPr>
        <w:t xml:space="preserve">Cusanus: The Legacy of Learned Ignorance</w:t>
      </w:r>
      <w:r>
        <w:t xml:space="preserve"> </w:t>
      </w:r>
      <w:r>
        <w:t xml:space="preserve">(2006), supplement Hopkins. The dispute concerns how metaphors and limit-concepts express a metaphysics, not simply whether Cusa preferred transcendent language.</w:t>
      </w:r>
    </w:p>
    <w:bookmarkEnd w:id="365"/>
    <w:bookmarkStart w:id="367" w:name="X483af683a556e24c4a990a0f61d322f926ee964"/>
    <w:p>
      <w:pPr>
        <w:pStyle w:val="Heading3"/>
      </w:pPr>
      <w:r>
        <w:t xml:space="preserve">5. Damascene and Palamas: a limit on the common simplicity thesis</w:t>
      </w:r>
    </w:p>
    <w:p>
      <w:pPr>
        <w:pStyle w:val="FirstParagraph"/>
      </w:pPr>
      <w:r>
        <w:t xml:space="preserve">John Damascene’s</w:t>
      </w:r>
      <w:r>
        <w:t xml:space="preserve"> </w:t>
      </w:r>
      <w:r>
        <w:rPr>
          <w:i/>
          <w:iCs/>
        </w:rPr>
        <w:t xml:space="preserve">Exposition of the Orthodox Faith</w:t>
      </w:r>
      <w:r>
        <w:t xml:space="preserve"> </w:t>
      </w:r>
      <w:r>
        <w:t xml:space="preserve">I.8–9, I.13–14, and II.2 remain primary-checking targets;</w:t>
      </w:r>
      <w:r>
        <w:t xml:space="preserve"> </w:t>
      </w:r>
      <w:hyperlink r:id="rId366">
        <w:r>
          <w:rPr>
            <w:rStyle w:val="Hyperlink"/>
          </w:rPr>
          <w:t xml:space="preserve">New Advent</w:t>
        </w:r>
      </w:hyperlink>
      <w:r>
        <w:t xml:space="preserve"> </w:t>
      </w:r>
      <w:r>
        <w:t xml:space="preserve">was inaccessible.</w:t>
      </w:r>
      <w:r>
        <w:t xml:space="preserve"> </w:t>
      </w:r>
      <w:r>
        <w:rPr>
          <w:b/>
          <w:bCs/>
        </w:rPr>
        <w:t xml:space="preserve">Actually consulted primary translation:</w:t>
      </w:r>
      <w:r>
        <w:t xml:space="preserve"> </w:t>
      </w:r>
      <w:r>
        <w:rPr>
          <w:i/>
          <w:iCs/>
        </w:rPr>
        <w:t xml:space="preserve">On Holy Images</w:t>
      </w:r>
      <w:r>
        <w:t xml:space="preserve">, third treatise, Allies’s subsections</w:t>
      </w:r>
      <w:r>
        <w:t xml:space="preserve"> </w:t>
      </w:r>
      <w:r>
        <w:t xml:space="preserve">“</w:t>
      </w:r>
      <w:r>
        <w:t xml:space="preserve">1st Point.—What is an Image?</w:t>
      </w:r>
      <w:r>
        <w:t xml:space="preserve">”</w:t>
      </w:r>
      <w:r>
        <w:t xml:space="preserve"> </w:t>
      </w:r>
      <w:r>
        <w:t xml:space="preserve">and</w:t>
      </w:r>
      <w:r>
        <w:t xml:space="preserve"> </w:t>
      </w:r>
      <w:r>
        <w:t xml:space="preserve">“</w:t>
      </w:r>
      <w:r>
        <w:t xml:space="preserve">3rd Point.—How many kinds of Images there are.</w:t>
      </w:r>
      <w:r>
        <w:t xml:space="preserve">”</w:t>
      </w:r>
      <w:r>
        <w:t xml:space="preserve"> </w:t>
      </w:r>
      <w:r>
        <w:t xml:space="preserve">The first distinguishes an image from its original and notes that representing bodily form need not communicate mental powers or life. The second distinguishes the Son’s natural image from divine foreknowledge, created imitation, symbolic representation, anticipation, and memorial images. Creaturely imitation thus cannot be equated with the Son’s natural relation or with God’s eternal counsels. This provides a direct category test against deriving every kind of participation from a single unqualified likeness. Modern checking should use Andrew Louth, trans.,</w:t>
      </w:r>
      <w:r>
        <w:t xml:space="preserve"> </w:t>
      </w:r>
      <w:r>
        <w:rPr>
          <w:i/>
          <w:iCs/>
        </w:rPr>
        <w:t xml:space="preserve">Three Treatises on the Divine Images</w:t>
      </w:r>
      <w:r>
        <w:t xml:space="preserve"> </w:t>
      </w:r>
      <w:r>
        <w:t xml:space="preserve">(2003).</w:t>
      </w:r>
    </w:p>
    <w:p>
      <w:pPr>
        <w:pStyle w:val="BodyText"/>
      </w:pPr>
      <w:r>
        <w:t xml:space="preserve">Palamas materially helps precisely where</w:t>
      </w:r>
      <w:r>
        <w:t xml:space="preserve"> </w:t>
      </w:r>
      <w:r>
        <w:t xml:space="preserve">“</w:t>
      </w:r>
      <w:r>
        <w:t xml:space="preserve">real participation without constituent identity</w:t>
      </w:r>
      <w:r>
        <w:t xml:space="preserve">”</w:t>
      </w:r>
      <w:r>
        <w:t xml:space="preserve"> </w:t>
      </w:r>
      <w:r>
        <w:t xml:space="preserve">is too quickly identified with one Western explanation. Consult</w:t>
      </w:r>
      <w:r>
        <w:t xml:space="preserve"> </w:t>
      </w:r>
      <w:r>
        <w:rPr>
          <w:i/>
          <w:iCs/>
        </w:rPr>
        <w:t xml:space="preserve">Triads</w:t>
      </w:r>
      <w:r>
        <w:t xml:space="preserve"> </w:t>
      </w:r>
      <w:r>
        <w:t xml:space="preserve">III.1–2 and</w:t>
      </w:r>
      <w:r>
        <w:t xml:space="preserve"> </w:t>
      </w:r>
      <w:r>
        <w:rPr>
          <w:i/>
          <w:iCs/>
        </w:rPr>
        <w:t xml:space="preserve">One Hundred and Fifty Chapters</w:t>
      </w:r>
      <w:r>
        <w:t xml:space="preserve"> </w:t>
      </w:r>
      <w:r>
        <w:t xml:space="preserve">on essence and energies; this dossier does</w:t>
      </w:r>
      <w:r>
        <w:t xml:space="preserve"> </w:t>
      </w:r>
      <w:r>
        <w:rPr>
          <w:b/>
          <w:bCs/>
        </w:rPr>
        <w:t xml:space="preserve">not</w:t>
      </w:r>
      <w:r>
        <w:t xml:space="preserve"> </w:t>
      </w:r>
      <w:r>
        <w:t xml:space="preserve">claim checked sentence-level loci. Editions: John Meyendorff, ed., Nicholas Gendle, trans.,</w:t>
      </w:r>
      <w:r>
        <w:t xml:space="preserve"> </w:t>
      </w:r>
      <w:r>
        <w:rPr>
          <w:i/>
          <w:iCs/>
        </w:rPr>
        <w:t xml:space="preserve">Gregory Palamas: The Triads</w:t>
      </w:r>
      <w:r>
        <w:t xml:space="preserve"> </w:t>
      </w:r>
      <w:r>
        <w:t xml:space="preserve">(1983); Robert E. Sinkewicz,</w:t>
      </w:r>
      <w:r>
        <w:t xml:space="preserve"> </w:t>
      </w:r>
      <w:r>
        <w:rPr>
          <w:i/>
          <w:iCs/>
        </w:rPr>
        <w:t xml:space="preserve">Saint Gregory Palamas: The One Hundred and Fifty Chapters: A Critical Edition, Translation and Study</w:t>
      </w:r>
      <w:r>
        <w:t xml:space="preserve"> </w:t>
      </w:r>
      <w:r>
        <w:t xml:space="preserve">(1988). Specialist comparison: David Bradshaw,</w:t>
      </w:r>
      <w:r>
        <w:t xml:space="preserve"> </w:t>
      </w:r>
      <w:r>
        <w:rPr>
          <w:i/>
          <w:iCs/>
        </w:rPr>
        <w:t xml:space="preserve">Aristotle East and West</w:t>
      </w:r>
      <w:r>
        <w:t xml:space="preserve"> </w:t>
      </w:r>
      <w:r>
        <w:t xml:space="preserve">(2004), and Norman Russell,</w:t>
      </w:r>
      <w:r>
        <w:t xml:space="preserve"> </w:t>
      </w:r>
      <w:r>
        <w:rPr>
          <w:i/>
          <w:iCs/>
        </w:rPr>
        <w:t xml:space="preserve">Gregory Palamas and the Making of Palamism in the Modern Age</w:t>
      </w:r>
      <w:r>
        <w:t xml:space="preserve"> </w:t>
      </w:r>
      <w:r>
        <w:t xml:space="preserve">(2019).</w:t>
      </w:r>
    </w:p>
    <w:p>
      <w:pPr>
        <w:pStyle w:val="BodyText"/>
      </w:pPr>
      <w:r>
        <w:rPr>
          <w:b/>
          <w:bCs/>
        </w:rPr>
        <w:t xml:space="preserve">Explicit doctrine, subject to textual checking:</w:t>
      </w:r>
      <w:r>
        <w:t xml:space="preserve"> </w:t>
      </w:r>
      <w:r>
        <w:t xml:space="preserve">the divine essence is unparticipated; divine energies are uncreated and really participated. Palamas denies that this makes God composite. Real grace therefore cannot uniformly be paraphrased as a created copy of a perfection while presenting that paraphrase as a tradition-wide consensus.</w:t>
      </w:r>
    </w:p>
    <w:p>
      <w:pPr>
        <w:pStyle w:val="BodyText"/>
      </w:pPr>
      <w:r>
        <w:rPr>
          <w:b/>
          <w:bCs/>
        </w:rPr>
        <w:t xml:space="preserve">Constructive consequence:</w:t>
      </w:r>
      <w:r>
        <w:t xml:space="preserve"> </w:t>
      </w:r>
      <w:r>
        <w:t xml:space="preserve">separate three questions: whether the creature’s own finite actuality is created; whether the divine agency or gift present to the creature is uncreated; and whether that agency becomes a constituent of the creature’s created essence. An affirmative answer to the second does not require an affirmative answer to the third. The common grammar can affirm divine presence, nonconstitution, and asymmetric dependence without settling whether essence/energies are distinct in Palamas’s sense.</w:t>
      </w:r>
    </w:p>
    <w:p>
      <w:pPr>
        <w:pStyle w:val="BodyText"/>
      </w:pPr>
      <w:r>
        <w:t xml:space="preserve">A basis defining simplicity as</w:t>
      </w:r>
      <w:r>
        <w:t xml:space="preserve"> </w:t>
      </w:r>
      <w:r>
        <w:t xml:space="preserve">“</w:t>
      </w:r>
      <w:r>
        <w:t xml:space="preserve">no real divine distinctions of any kind</w:t>
      </w:r>
      <w:r>
        <w:t xml:space="preserve">”</w:t>
      </w:r>
      <w:r>
        <w:t xml:space="preserve"> </w:t>
      </w:r>
      <w:r>
        <w:t xml:space="preserve">excludes Palamas by stipulation. A basis defining simplicity as absence of parts or composition leaves an additional dispute concerning which distinctions imply composition. This dispute should remain visible. Convergence on nonpartition is not identity of every explanatory model.</w:t>
      </w:r>
    </w:p>
    <w:bookmarkEnd w:id="367"/>
    <w:bookmarkStart w:id="368" w:name="Xfcaf1003d129583c0eabd38dcbed9831eadac9b"/>
    <w:p>
      <w:pPr>
        <w:pStyle w:val="Heading3"/>
      </w:pPr>
      <w:r>
        <w:t xml:space="preserve">6. Consequences for the proposed minimal grammar</w:t>
      </w:r>
    </w:p>
    <w:p>
      <w:pPr>
        <w:pStyle w:val="Compact"/>
        <w:numPr>
          <w:ilvl w:val="0"/>
          <w:numId w:val="1012"/>
        </w:numPr>
      </w:pPr>
      <w:r>
        <w:rPr>
          <w:b/>
          <w:bCs/>
        </w:rPr>
        <w:t xml:space="preserve">Dependence does not entail likeness.</w:t>
      </w:r>
      <w:r>
        <w:t xml:space="preserve"> </w:t>
      </w:r>
      <w:r>
        <w:t xml:space="preserve">Dionysian precontainment and Maximian logoi support a separate intelligible-perfection bridge. A featureless sustaining source is a countermodel to a derivation from dependence alone.</w:t>
      </w:r>
    </w:p>
    <w:p>
      <w:pPr>
        <w:pStyle w:val="Compact"/>
        <w:numPr>
          <w:ilvl w:val="0"/>
          <w:numId w:val="1012"/>
        </w:numPr>
      </w:pPr>
      <w:r>
        <w:rPr>
          <w:b/>
          <w:bCs/>
        </w:rPr>
        <w:t xml:space="preserve">Manifestation does not entail causation or nonconstitution.</w:t>
      </w:r>
      <w:r>
        <w:t xml:space="preserve"> </w:t>
      </w:r>
      <w:r>
        <w:t xml:space="preserve">Eriugena and Cusa demonstrate why those relationships must be independently constrained.</w:t>
      </w:r>
    </w:p>
    <w:p>
      <w:pPr>
        <w:pStyle w:val="Compact"/>
        <w:numPr>
          <w:ilvl w:val="0"/>
          <w:numId w:val="1012"/>
        </w:numPr>
      </w:pPr>
      <w:r>
        <w:rPr>
          <w:b/>
          <w:bCs/>
        </w:rPr>
        <w:t xml:space="preserve">Non-exhaustion requires an excess premise.</w:t>
      </w:r>
      <w:r>
        <w:t xml:space="preserve"> </w:t>
      </w:r>
      <w:r>
        <w:t xml:space="preserve">Finite reception by itself leaves open a finite source exactly matched by its one effect. Infinity or an appropriately unrestricted actuality condition must be added for the stronger theorem.</w:t>
      </w:r>
    </w:p>
    <w:p>
      <w:pPr>
        <w:pStyle w:val="Compact"/>
        <w:numPr>
          <w:ilvl w:val="0"/>
          <w:numId w:val="1012"/>
        </w:numPr>
      </w:pPr>
      <w:r>
        <w:rPr>
          <w:b/>
          <w:bCs/>
        </w:rPr>
        <w:t xml:space="preserve">Non-exhaustion does not entail freedom.</w:t>
      </w:r>
      <w:r>
        <w:t xml:space="preserve"> </w:t>
      </w:r>
      <w:r>
        <w:t xml:space="preserve">A necessary emanation from an inexhaustible source is a countermodel. Volitional alternatives and the possibility of no creation require separate modal premises.</w:t>
      </w:r>
    </w:p>
    <w:p>
      <w:pPr>
        <w:pStyle w:val="Compact"/>
        <w:numPr>
          <w:ilvl w:val="0"/>
          <w:numId w:val="1012"/>
        </w:numPr>
      </w:pPr>
      <w:r>
        <w:rPr>
          <w:b/>
          <w:bCs/>
        </w:rPr>
        <w:t xml:space="preserve">Multiplicity of effects does not by itself settle divine simplicity.</w:t>
      </w:r>
      <w:r>
        <w:t xml:space="preserve"> </w:t>
      </w:r>
      <w:r>
        <w:t xml:space="preserve">One-to-many causal mapping establishes compatibility with one source; it does not prove the source lacks intrinsic structure.</w:t>
      </w:r>
    </w:p>
    <w:p>
      <w:pPr>
        <w:pStyle w:val="Compact"/>
        <w:numPr>
          <w:ilvl w:val="0"/>
          <w:numId w:val="1012"/>
        </w:numPr>
      </w:pPr>
      <w:r>
        <w:rPr>
          <w:b/>
          <w:bCs/>
        </w:rPr>
        <w:t xml:space="preserve">The common core is thinner than any complete school.</w:t>
      </w:r>
      <w:r>
        <w:t xml:space="preserve"> </w:t>
      </w:r>
      <w:r>
        <w:t xml:space="preserve">The shared targets are distinct finite realities, their true goodness, asymmetric dependence, real divine communication, and a source not partitioned or completed by them. Theories of divine ideas, energies, relations, and simplicity provide partly competing explanations.</w:t>
      </w:r>
    </w:p>
    <w:p>
      <w:pPr>
        <w:pStyle w:val="FirstParagraph"/>
      </w:pPr>
      <w:r>
        <w:t xml:space="preserve">The best synthesis calls participation a coordinated structure of ontological dependence and intelligible likeness under nonconstitution and source excess. Calling it a</w:t>
      </w:r>
      <w:r>
        <w:t xml:space="preserve"> </w:t>
      </w:r>
      <w:r>
        <w:t xml:space="preserve">“</w:t>
      </w:r>
      <w:r>
        <w:t xml:space="preserve">third relation</w:t>
      </w:r>
      <w:r>
        <w:t xml:space="preserve">”</w:t>
      </w:r>
      <w:r>
        <w:t xml:space="preserve"> </w:t>
      </w:r>
      <w:r>
        <w:t xml:space="preserve">is harmless only if that name does not replace the structure with an unexplained primitive. Newman-style development would conserve the common commitments, preserve each school’s achieved distinctions, mark new formalization, and disclose unresolved incompatibilities. It would not harmonize necessity with contingency, or created grace with uncreated energies, by changing their meanings unnoticed.</w:t>
      </w:r>
    </w:p>
    <w:bookmarkEnd w:id="368"/>
    <w:bookmarkEnd w:id="369"/>
    <w:p>
      <w:pPr>
        <w:pStyle w:val="Heading1"/>
      </w:pPr>
      <w:r>
        <w:t xml:space="preserve">Appendix E — latin-exemplarism.md</w:t>
      </w:r>
    </w:p>
    <w:p>
      <w:pPr>
        <w:pStyle w:val="FirstParagraph"/>
      </w:pPr>
      <w:r>
        <w:t xml:space="preserve">Original research file: https:/​/​participation-​6o4.​pages.​dev/​research/​latin-​exemplarism.​md</w:t>
      </w:r>
    </w:p>
    <w:bookmarkStart w:id="378" w:name="X241189c949bd96d6e9d9c6c66062fb2360aeddb"/>
    <w:p>
      <w:pPr>
        <w:pStyle w:val="Heading2"/>
      </w:pPr>
      <w:r>
        <w:t xml:space="preserve">Anselm, Bonaventure, and Henry of Ghent: constrained retrieval</w:t>
      </w:r>
    </w:p>
    <w:p>
      <w:pPr>
        <w:pStyle w:val="FirstParagraph"/>
      </w:pPr>
      <w:r>
        <w:t xml:space="preserve">This dossier supplies historical constraints for a constructive grammar, not a claim that these three authors held one formal system.</w:t>
      </w:r>
      <w:r>
        <w:t xml:space="preserve"> </w:t>
      </w:r>
      <w:r>
        <w:rPr>
          <w:b/>
          <w:bCs/>
        </w:rPr>
        <w:t xml:space="preserve">Explicit</w:t>
      </w:r>
      <w:r>
        <w:t xml:space="preserve"> </w:t>
      </w:r>
      <w:r>
        <w:t xml:space="preserve">below means a claim in a consulted textual witness;</w:t>
      </w:r>
      <w:r>
        <w:t xml:space="preserve"> </w:t>
      </w:r>
      <w:r>
        <w:rPr>
          <w:b/>
          <w:bCs/>
        </w:rPr>
        <w:t xml:space="preserve">reconstruction</w:t>
      </w:r>
      <w:r>
        <w:t xml:space="preserve"> </w:t>
      </w:r>
      <w:r>
        <w:t xml:space="preserve">means an interpretation of that claim;</w:t>
      </w:r>
      <w:r>
        <w:t xml:space="preserve"> </w:t>
      </w:r>
      <w:r>
        <w:rPr>
          <w:b/>
          <w:bCs/>
        </w:rPr>
        <w:t xml:space="preserve">proposal</w:t>
      </w:r>
      <w:r>
        <w:t xml:space="preserve"> </w:t>
      </w:r>
      <w:r>
        <w:t xml:space="preserve">means a new use in the project’s architecture.</w:t>
      </w:r>
    </w:p>
    <w:bookmarkStart w:id="371" w:name="source-status"/>
    <w:p>
      <w:pPr>
        <w:pStyle w:val="Heading3"/>
      </w:pPr>
      <w:r>
        <w:t xml:space="preserve">Source status</w:t>
      </w:r>
    </w:p>
    <w:p>
      <w:pPr>
        <w:pStyle w:val="FirstParagraph"/>
      </w:pPr>
      <w:r>
        <w:t xml:space="preserve">The publisher pages for the Stanford Encyclopedia of Philosophy (SEP), Jasper Hopkins’s translations, and the Franciscan Archive returned HTTPS proxy 403. A permitted GitHub route recovered ordinary SEP article prose, not vector embeddings, from</w:t>
      </w:r>
      <w:r>
        <w:t xml:space="preserve"> </w:t>
      </w:r>
      <w:r>
        <w:rPr>
          <w:rStyle w:val="VerbatimChar"/>
        </w:rPr>
        <w:t xml:space="preserve">md-mq/philo2vec/data/data.zip</w:t>
      </w:r>
      <w:r>
        <w:t xml:space="preserve">. Its current commit is</w:t>
      </w:r>
      <w:r>
        <w:t xml:space="preserve"> </w:t>
      </w:r>
      <w:r>
        <w:rPr>
          <w:rStyle w:val="VerbatimChar"/>
        </w:rPr>
        <w:t xml:space="preserve">0d2351d43723f0d4a1fa662557626adb31a822ad</w:t>
      </w:r>
      <w:r>
        <w:t xml:space="preserve">, dated 12 August 2016. The archive omits author headers, bibliographies, notes, and individual revision dates. It supports consultation of an older specialist account; it does not establish current SEP wording or complete scholarship coverage.</w:t>
      </w:r>
    </w:p>
    <w:p>
      <w:pPr>
        <w:pStyle w:val="Compact"/>
        <w:numPr>
          <w:ilvl w:val="0"/>
          <w:numId w:val="1013"/>
        </w:numPr>
      </w:pPr>
      <w:r>
        <w:rPr>
          <w:b/>
          <w:bCs/>
        </w:rPr>
        <w:t xml:space="preserve">Consulted:</w:t>
      </w:r>
      <w:r>
        <w:t xml:space="preserve"> </w:t>
      </w:r>
      <w:r>
        <w:t xml:space="preserve">SEP article bodies</w:t>
      </w:r>
      <w:r>
        <w:t xml:space="preserve"> </w:t>
      </w:r>
      <w:r>
        <w:t xml:space="preserve">“</w:t>
      </w:r>
      <w:r>
        <w:t xml:space="preserve">Anselm,</w:t>
      </w:r>
      <w:r>
        <w:t xml:space="preserve">”</w:t>
      </w:r>
      <w:r>
        <w:t xml:space="preserve"> </w:t>
      </w:r>
      <w:r>
        <w:t xml:space="preserve">“</w:t>
      </w:r>
      <w:r>
        <w:t xml:space="preserve">Bonaventure,</w:t>
      </w:r>
      <w:r>
        <w:t xml:space="preserve">”</w:t>
      </w:r>
      <w:r>
        <w:t xml:space="preserve"> </w:t>
      </w:r>
      <w:r>
        <w:t xml:space="preserve">and</w:t>
      </w:r>
      <w:r>
        <w:t xml:space="preserve"> </w:t>
      </w:r>
      <w:r>
        <w:t xml:space="preserve">“</w:t>
      </w:r>
      <w:r>
        <w:t xml:space="preserve">Henry of Ghent,</w:t>
      </w:r>
      <w:r>
        <w:t xml:space="preserve">”</w:t>
      </w:r>
      <w:r>
        <w:t xml:space="preserve"> </w:t>
      </w:r>
      <w:r>
        <w:t xml:space="preserve">through the</w:t>
      </w:r>
      <w:r>
        <w:t xml:space="preserve"> </w:t>
      </w:r>
      <w:hyperlink r:id="rId284">
        <w:r>
          <w:rPr>
            <w:rStyle w:val="Hyperlink"/>
          </w:rPr>
          <w:t xml:space="preserve">archived corpus</w:t>
        </w:r>
      </w:hyperlink>
      <w:r>
        <w:t xml:space="preserve">. Readable extracts are</w:t>
      </w:r>
      <w:r>
        <w:t xml:space="preserve"> </w:t>
      </w:r>
      <w:r>
        <w:rPr>
          <w:rStyle w:val="VerbatimChar"/>
        </w:rPr>
        <w:t xml:space="preserve">/tmp/latin-sources/mirror-anselm.txt</w:t>
      </w:r>
      <w:r>
        <w:t xml:space="preserve">,</w:t>
      </w:r>
      <w:r>
        <w:t xml:space="preserve"> </w:t>
      </w:r>
      <w:r>
        <w:rPr>
          <w:rStyle w:val="VerbatimChar"/>
        </w:rPr>
        <w:t xml:space="preserve">mirror-bonaventure.txt</w:t>
      </w:r>
      <w:r>
        <w:t xml:space="preserve">, and</w:t>
      </w:r>
      <w:r>
        <w:t xml:space="preserve"> </w:t>
      </w:r>
      <w:r>
        <w:rPr>
          <w:rStyle w:val="VerbatimChar"/>
        </w:rPr>
        <w:t xml:space="preserve">mirror-henry-ghent.txt</w:t>
      </w:r>
      <w:r>
        <w:t xml:space="preserve">.</w:t>
      </w:r>
    </w:p>
    <w:p>
      <w:pPr>
        <w:pStyle w:val="Compact"/>
        <w:numPr>
          <w:ilvl w:val="0"/>
          <w:numId w:val="1013"/>
        </w:numPr>
      </w:pPr>
      <w:r>
        <w:rPr>
          <w:b/>
          <w:bCs/>
        </w:rPr>
        <w:t xml:space="preserve">Consulted with qualification:</w:t>
      </w:r>
      <w:r>
        <w:t xml:space="preserve"> </w:t>
      </w:r>
      <w:r>
        <w:t xml:space="preserve">Anselm’s Latin</w:t>
      </w:r>
      <w:r>
        <w:t xml:space="preserve"> </w:t>
      </w:r>
      <w:r>
        <w:rPr>
          <w:i/>
          <w:iCs/>
        </w:rPr>
        <w:t xml:space="preserve">Monologion</w:t>
      </w:r>
      <w:r>
        <w:t xml:space="preserve">, chapters 6–8, 11–13, 16–17, 22–27, and 30–36, through a</w:t>
      </w:r>
      <w:r>
        <w:t xml:space="preserve"> </w:t>
      </w:r>
      <w:hyperlink r:id="rId276">
        <w:r>
          <w:rPr>
            <w:rStyle w:val="Hyperlink"/>
          </w:rPr>
          <w:t xml:space="preserve">public-domain OCR witness</w:t>
        </w:r>
      </w:hyperlink>
      <w:r>
        <w:t xml:space="preserve">. OCR is imperfect; no critical apparatus was consulted. The chapter headings and relevant passages can be checked in the numbered text files. The source should not be described as a modern critical edition.</w:t>
      </w:r>
    </w:p>
    <w:p>
      <w:pPr>
        <w:pStyle w:val="Compact"/>
        <w:numPr>
          <w:ilvl w:val="0"/>
          <w:numId w:val="1013"/>
        </w:numPr>
      </w:pPr>
      <w:r>
        <w:rPr>
          <w:b/>
          <w:bCs/>
        </w:rPr>
        <w:t xml:space="preserve">Comparison witness only:</w:t>
      </w:r>
      <w:r>
        <w:t xml:space="preserve"> </w:t>
      </w:r>
      <w:r>
        <w:t xml:space="preserve">Bonaventure’s</w:t>
      </w:r>
      <w:r>
        <w:t xml:space="preserve"> </w:t>
      </w:r>
      <w:r>
        <w:rPr>
          <w:i/>
          <w:iCs/>
        </w:rPr>
        <w:t xml:space="preserve">Itinerarium</w:t>
      </w:r>
      <w:r>
        <w:t xml:space="preserve"> </w:t>
      </w:r>
      <w:r>
        <w:t xml:space="preserve">in an</w:t>
      </w:r>
      <w:r>
        <w:t xml:space="preserve"> </w:t>
      </w:r>
      <w:hyperlink r:id="rId370">
        <w:r>
          <w:rPr>
            <w:rStyle w:val="Hyperlink"/>
          </w:rPr>
          <w:t xml:space="preserve">uncredited Spanish transcription</w:t>
        </w:r>
      </w:hyperlink>
      <w:r>
        <w:t xml:space="preserve">. Section numbers and argumentative context were inspected; provenance is insufficient for an authoritative English quotation.</w:t>
      </w:r>
    </w:p>
    <w:p>
      <w:pPr>
        <w:pStyle w:val="Compact"/>
        <w:numPr>
          <w:ilvl w:val="0"/>
          <w:numId w:val="1013"/>
        </w:numPr>
      </w:pPr>
      <w:r>
        <w:rPr>
          <w:b/>
          <w:bCs/>
        </w:rPr>
        <w:t xml:space="preserve">Not directly consulted:</w:t>
      </w:r>
      <w:r>
        <w:t xml:space="preserve"> </w:t>
      </w:r>
      <w:r>
        <w:t xml:space="preserve">Henry’s complete Latin</w:t>
      </w:r>
      <w:r>
        <w:t xml:space="preserve"> </w:t>
      </w:r>
      <w:r>
        <w:rPr>
          <w:i/>
          <w:iCs/>
        </w:rPr>
        <w:t xml:space="preserve">Summa</w:t>
      </w:r>
      <w:r>
        <w:t xml:space="preserve"> </w:t>
      </w:r>
      <w:r>
        <w:t xml:space="preserve">and</w:t>
      </w:r>
      <w:r>
        <w:t xml:space="preserve"> </w:t>
      </w:r>
      <w:r>
        <w:rPr>
          <w:i/>
          <w:iCs/>
        </w:rPr>
        <w:t xml:space="preserve">Quodlibeta</w:t>
      </w:r>
      <w:r>
        <w:t xml:space="preserve">, Bonaventure’s critical</w:t>
      </w:r>
      <w:r>
        <w:t xml:space="preserve"> </w:t>
      </w:r>
      <w:r>
        <w:rPr>
          <w:i/>
          <w:iCs/>
        </w:rPr>
        <w:t xml:space="preserve">Opera omnia</w:t>
      </w:r>
      <w:r>
        <w:t xml:space="preserve">, and the specialist works mentioned inside the SEP account. Their loci below are reported as specialist-supplied leads, not independently collated citations.</w:t>
      </w:r>
    </w:p>
    <w:bookmarkEnd w:id="371"/>
    <w:bookmarkStart w:id="372" w:name="X404b5df8f3bae46d3e43c221d78e04484789ce9"/>
    <w:p>
      <w:pPr>
        <w:pStyle w:val="Heading3"/>
      </w:pPr>
      <w:r>
        <w:t xml:space="preserve">Anselm: a notably useful non-Thomist witness</w:t>
      </w:r>
    </w:p>
    <w:p>
      <w:pPr>
        <w:pStyle w:val="FirstParagraph"/>
      </w:pPr>
      <w:r>
        <w:rPr>
          <w:b/>
          <w:bCs/>
        </w:rPr>
        <w:t xml:space="preserve">Explicit:</w:t>
      </w:r>
      <w:r>
        <w:t xml:space="preserve"> </w:t>
      </w:r>
      <w:r>
        <w:rPr>
          <w:i/>
          <w:iCs/>
        </w:rPr>
        <w:t xml:space="preserve">Monologion</w:t>
      </w:r>
      <w:r>
        <w:t xml:space="preserve"> </w:t>
      </w:r>
      <w:r>
        <w:t xml:space="preserve">6 distinguishes existing through oneself from causing oneself: an agent cannot bring itself into being because it would have to precede itself. The light/shining analogy treats</w:t>
      </w:r>
      <w:r>
        <w:t xml:space="preserve"> </w:t>
      </w:r>
      <w:r>
        <w:rPr>
          <w:i/>
          <w:iCs/>
        </w:rPr>
        <w:t xml:space="preserve">per se</w:t>
      </w:r>
      <w:r>
        <w:t xml:space="preserve"> </w:t>
      </w:r>
      <w:r>
        <w:t xml:space="preserve">as non-derived actuality, not self-production. Chapters 7–8 distinguish efficient origin from material derivation. The supreme nature makes creatures without using divine substance as material;</w:t>
      </w:r>
      <w:r>
        <w:t xml:space="preserve"> </w:t>
      </w:r>
      <w:r>
        <w:t xml:space="preserve">“</w:t>
      </w:r>
      <w:r>
        <w:t xml:space="preserve">nothing</w:t>
      </w:r>
      <w:r>
        <w:t xml:space="preserve">”</w:t>
      </w:r>
      <w:r>
        <w:t xml:space="preserve"> </w:t>
      </w:r>
      <w:r>
        <w:t xml:space="preserve">is not a second stuff from which creatures are assembled.</w:t>
      </w:r>
    </w:p>
    <w:p>
      <w:pPr>
        <w:pStyle w:val="BodyText"/>
      </w:pPr>
      <w:r>
        <w:rPr>
          <w:b/>
          <w:bCs/>
        </w:rPr>
        <w:t xml:space="preserve">Reconstruction:</w:t>
      </w:r>
      <w:r>
        <w:t xml:space="preserve"> </w:t>
      </w:r>
      <w:r>
        <w:t xml:space="preserve">Non-reception can be defined negatively from dependence, but sourcehood is not self-causation. A relation</w:t>
      </w:r>
      <w:r>
        <w:t xml:space="preserve"> </w:t>
      </w:r>
      <w:r>
        <w:t xml:space="preserve">“</w:t>
      </w:r>
      <w:r>
        <w:t xml:space="preserve">from God</w:t>
      </w:r>
      <w:r>
        <w:t xml:space="preserve">”</w:t>
      </w:r>
      <w:r>
        <w:t xml:space="preserve"> </w:t>
      </w:r>
      <w:r>
        <w:t xml:space="preserve">must not silently mean</w:t>
      </w:r>
      <w:r>
        <w:t xml:space="preserve"> </w:t>
      </w:r>
      <w:r>
        <w:t xml:space="preserve">“</w:t>
      </w:r>
      <w:r>
        <w:t xml:space="preserve">made out of God.</w:t>
      </w:r>
      <w:r>
        <w:t xml:space="preserve">”</w:t>
      </w:r>
      <w:r>
        <w:t xml:space="preserve"> </w:t>
      </w:r>
      <w:r>
        <w:t xml:space="preserve">This supports separate dependence and constitution vocabulary. Chapter 7’s argument assumes that a lesser entity’s production out of divine material would entail alteration or corruption of the highest good. That assumption belongs in an argumentative premise; it is not supplied by the preposition</w:t>
      </w:r>
      <w:r>
        <w:t xml:space="preserve"> </w:t>
      </w:r>
      <w:r>
        <w:t xml:space="preserve">“</w:t>
      </w:r>
      <w:r>
        <w:t xml:space="preserve">from.</w:t>
      </w:r>
      <w:r>
        <w:t xml:space="preserve">”</w:t>
      </w:r>
    </w:p>
    <w:p>
      <w:pPr>
        <w:pStyle w:val="BodyText"/>
      </w:pPr>
      <w:r>
        <w:rPr>
          <w:b/>
          <w:bCs/>
        </w:rPr>
        <w:t xml:space="preserve">Explicit:</w:t>
      </w:r>
      <w:r>
        <w:t xml:space="preserve"> </w:t>
      </w:r>
      <w:r>
        <w:t xml:space="preserve">Chapter 13 adds preservation to production: the same source sustains things for as long as they exist. Chapters 22–23 describe a presence to things that does not involve the source’s enclosure in places. Chapter 23 accordingly prefers</w:t>
      </w:r>
      <w:r>
        <w:t xml:space="preserve"> </w:t>
      </w:r>
      <w:r>
        <w:t xml:space="preserve">“</w:t>
      </w:r>
      <w:r>
        <w:t xml:space="preserve">everywhere,</w:t>
      </w:r>
      <w:r>
        <w:t xml:space="preserve">”</w:t>
      </w:r>
      <w:r>
        <w:t xml:space="preserve"> </w:t>
      </w:r>
      <w:r>
        <w:t xml:space="preserve">meaning present to everything, to a purely spatial account.</w:t>
      </w:r>
    </w:p>
    <w:p>
      <w:pPr>
        <w:pStyle w:val="BodyText"/>
      </w:pPr>
      <w:r>
        <w:rPr>
          <w:b/>
          <w:bCs/>
        </w:rPr>
        <w:t xml:space="preserve">Proposal:</w:t>
      </w:r>
      <w:r>
        <w:t xml:space="preserve"> </w:t>
      </w:r>
      <w:r>
        <w:t xml:space="preserve">Define causal intimacy by present sustaining dependence, then identify divine presence with that causal operation under an additional theological interpretation. No physical distance relation is needed. Preservation excludes a deistic model in which origin suffices without present dependence; it does not by itself prove that every creaturely action lacks secondary causes.</w:t>
      </w:r>
    </w:p>
    <w:p>
      <w:pPr>
        <w:pStyle w:val="BodyText"/>
      </w:pPr>
      <w:r>
        <w:rPr>
          <w:b/>
          <w:bCs/>
        </w:rPr>
        <w:t xml:space="preserve">Explicit:</w:t>
      </w:r>
      <w:r>
        <w:t xml:space="preserve"> </w:t>
      </w:r>
      <w:r>
        <w:t xml:space="preserve">Chapter 16 distinguishes a just person, who has justice, from the supreme nature, which is justice. Chapter 17 argues that a composite depends on what composes it. Hence a supreme, non-dependent nature cannot be composed of several goods, although it is named life, reason, justice, and goodness.</w:t>
      </w:r>
    </w:p>
    <w:p>
      <w:pPr>
        <w:pStyle w:val="BodyText"/>
      </w:pPr>
      <w:r>
        <w:rPr>
          <w:b/>
          <w:bCs/>
        </w:rPr>
        <w:t xml:space="preserve">Reconstruction:</w:t>
      </w:r>
      <w:r>
        <w:t xml:space="preserve"> </w:t>
      </w:r>
      <w:r>
        <w:t xml:space="preserve">This is a real argument for non-receptive perfection, not merely a definition of divine justice. Its generative step is</w:t>
      </w:r>
      <w:r>
        <w:t xml:space="preserve"> </w:t>
      </w:r>
      <w:r>
        <w:rPr>
          <w:b/>
          <w:bCs/>
        </w:rPr>
        <w:t xml:space="preserve">constitutive composition entails dependence on constituents</w:t>
      </w:r>
      <w:r>
        <w:t xml:space="preserve">. An underived cause need not be simple in a formal model unless that dependence principle is included. The axiom</w:t>
      </w:r>
      <w:r>
        <w:t xml:space="preserve"> </w:t>
      </w:r>
      <w:r>
        <w:t xml:space="preserve">“</w:t>
      </w:r>
      <w:r>
        <w:t xml:space="preserve">ultimate causes are simple</w:t>
      </w:r>
      <w:r>
        <w:t xml:space="preserve">”</w:t>
      </w:r>
      <w:r>
        <w:t xml:space="preserve"> </w:t>
      </w:r>
      <w:r>
        <w:t xml:space="preserve">would hide this work if introduced without explanation.</w:t>
      </w:r>
    </w:p>
    <w:p>
      <w:pPr>
        <w:pStyle w:val="BodyText"/>
      </w:pPr>
      <w:r>
        <w:rPr>
          <w:b/>
          <w:bCs/>
        </w:rPr>
        <w:t xml:space="preserve">Explicit:</w:t>
      </w:r>
      <w:r>
        <w:t xml:space="preserve"> </w:t>
      </w:r>
      <w:r>
        <w:t xml:space="preserve">Chapter 25 considers a man who acquires comparative relations to a newly born child without changing himself as the child appears or grows. Relational predicates need not be acquired mutable accidents. Chapters 26–27 deny that the supreme nature shares a common substantial essence with creatures: it is neither a universal divided into individuals nor one individual within a shared substantial kind.</w:t>
      </w:r>
    </w:p>
    <w:p>
      <w:pPr>
        <w:pStyle w:val="BodyText"/>
      </w:pPr>
      <w:r>
        <w:rPr>
          <w:b/>
          <w:bCs/>
        </w:rPr>
        <w:t xml:space="preserve">Proposal:</w:t>
      </w:r>
      <w:r>
        <w:t xml:space="preserve"> </w:t>
      </w:r>
      <w:r>
        <w:t xml:space="preserve">Chapter 25 anticipates a distinction between intrinsic constitution and object-relative predication; it should not be retroactively called Aquinas’s complete theory of mixed relations. Chapters 26–27 support exclusion from a common substantial genus, but do not alone establish every modern claim about univocal concepts. A shared predicate and a shared substantial kind are different issues.</w:t>
      </w:r>
    </w:p>
    <w:p>
      <w:pPr>
        <w:pStyle w:val="BodyText"/>
      </w:pPr>
      <w:r>
        <w:rPr>
          <w:b/>
          <w:bCs/>
        </w:rPr>
        <w:t xml:space="preserve">Explicit:</w:t>
      </w:r>
      <w:r>
        <w:t xml:space="preserve"> </w:t>
      </w:r>
      <w:r>
        <w:t xml:space="preserve">Chapters 30–35 hold that one simple Word expresses the diverse created realities. Chapter 31 locates the normative direction of likeness in the effect: creation imitates the Word; the Word does not become more accurate by matching mutable effects. Chapter 34 distinguishes creatures’ mutable being in themselves from their presence in the supreme reason, where they are not present under their created mode.</w:t>
      </w:r>
    </w:p>
    <w:p>
      <w:pPr>
        <w:pStyle w:val="BodyText"/>
      </w:pPr>
      <w:r>
        <w:rPr>
          <w:b/>
          <w:bCs/>
        </w:rPr>
        <w:t xml:space="preserve">Reconstruction:</w:t>
      </w:r>
      <w:r>
        <w:t xml:space="preserve"> </w:t>
      </w:r>
      <w:r>
        <w:t xml:space="preserve">This is especially good evidence for</w:t>
      </w:r>
      <w:r>
        <w:t xml:space="preserve"> </w:t>
      </w:r>
      <w:r>
        <w:t xml:space="preserve">“</w:t>
      </w:r>
      <w:r>
        <w:t xml:space="preserve">effect mode is not transferred to source</w:t>
      </w:r>
      <w:r>
        <w:t xml:space="preserve">”</w:t>
      </w:r>
      <w:r>
        <w:t xml:space="preserve"> </w:t>
      </w:r>
      <w:r>
        <w:t xml:space="preserve">and for</w:t>
      </w:r>
      <w:r>
        <w:t xml:space="preserve"> </w:t>
      </w:r>
      <w:r>
        <w:t xml:space="preserve">“</w:t>
      </w:r>
      <w:r>
        <w:t xml:space="preserve">many expressions do not automatically entail many intrinsic parts.</w:t>
      </w:r>
      <w:r>
        <w:t xml:space="preserve">”</w:t>
      </w:r>
      <w:r>
        <w:t xml:space="preserve"> </w:t>
      </w:r>
      <w:r>
        <w:t xml:space="preserve">It does not mean an actual stone is numerically identical with God. Causal/exemplary precontainment and actual created existence must remain distinct.</w:t>
      </w:r>
    </w:p>
    <w:bookmarkEnd w:id="372"/>
    <w:bookmarkStart w:id="373" w:name="Xb6229544288c88ffce84404ce7590f5c9afcd62"/>
    <w:p>
      <w:pPr>
        <w:pStyle w:val="Heading3"/>
      </w:pPr>
      <w:r>
        <w:t xml:space="preserve">Bonaventure: exemplarity and real creaturely agency</w:t>
      </w:r>
    </w:p>
    <w:p>
      <w:pPr>
        <w:pStyle w:val="FirstParagraph"/>
      </w:pPr>
      <w:r>
        <w:rPr>
          <w:b/>
          <w:bCs/>
        </w:rPr>
        <w:t xml:space="preserve">Explicit, through the consulted SEP account:</w:t>
      </w:r>
      <w:r>
        <w:t xml:space="preserve"> </w:t>
      </w:r>
      <w:r>
        <w:t xml:space="preserve">All creatures have causal dependence upon God and signify their source. Its fourfold terminology distinguishes shadow and vestige from image and likeness: intellectual nature and grace introduce different kinds of expression. The</w:t>
      </w:r>
      <w:r>
        <w:t xml:space="preserve"> </w:t>
      </w:r>
      <w:r>
        <w:rPr>
          <w:i/>
          <w:iCs/>
        </w:rPr>
        <w:t xml:space="preserve">Collations on the Hexameron</w:t>
      </w:r>
      <w:r>
        <w:t xml:space="preserve"> </w:t>
      </w:r>
      <w:r>
        <w:t xml:space="preserve">make exemplar causality central to metaphysics alongside efficient and final causality. The mirror’s note numbers have lost their underlying references, so no falsely precise</w:t>
      </w:r>
      <w:r>
        <w:t xml:space="preserve"> </w:t>
      </w:r>
      <w:r>
        <w:rPr>
          <w:i/>
          <w:iCs/>
        </w:rPr>
        <w:t xml:space="preserve">Collation</w:t>
      </w:r>
      <w:r>
        <w:t xml:space="preserve"> </w:t>
      </w:r>
      <w:r>
        <w:t xml:space="preserve">subsection is supplied here.</w:t>
      </w:r>
    </w:p>
    <w:p>
      <w:pPr>
        <w:pStyle w:val="BodyText"/>
      </w:pPr>
      <w:r>
        <w:rPr>
          <w:b/>
          <w:bCs/>
        </w:rPr>
        <w:t xml:space="preserve">Reconstruction:</w:t>
      </w:r>
      <w:r>
        <w:t xml:space="preserve"> </w:t>
      </w:r>
      <w:r>
        <w:t xml:space="preserve">The passage from dependence to manifestation is not logically free. Bonaventure supplies exemplary causality as the bridge. A formal model can satisfy asymmetrical dependence while interpreting likeness as an empty relation; dependence alone therefore cannot prove positive likeness. The constructive theory must restrict its likeness bridge to positive perfections and an adequate source, and acknowledge this as an independent commitment.</w:t>
      </w:r>
    </w:p>
    <w:p>
      <w:pPr>
        <w:pStyle w:val="BodyText"/>
      </w:pPr>
      <w:r>
        <w:t xml:space="preserve">The mirrored article explains participation in terms of a possessed attribute and an exemplar in which that attribute exists essentially. For its own metaphysical proof this account additionally appeals to the difference between categorical and transcendental attributes.</w:t>
      </w:r>
      <w:r>
        <w:t xml:space="preserve"> </w:t>
      </w:r>
      <w:r>
        <w:rPr>
          <w:b/>
          <w:bCs/>
        </w:rPr>
        <w:t xml:space="preserve">Proposal:</w:t>
      </w:r>
      <w:r>
        <w:t xml:space="preserve"> </w:t>
      </w:r>
      <w:r>
        <w:t xml:space="preserve">Retain causal adequacy and non-receptive possession while refusing to infer that every finite categorical feature is literally predicated of God.</w:t>
      </w:r>
      <w:r>
        <w:t xml:space="preserve"> </w:t>
      </w:r>
      <w:r>
        <w:t xml:space="preserve">“</w:t>
      </w:r>
      <w:r>
        <w:t xml:space="preserve">God causes horses</w:t>
      </w:r>
      <w:r>
        <w:t xml:space="preserve">”</w:t>
      </w:r>
      <w:r>
        <w:t xml:space="preserve"> </w:t>
      </w:r>
      <w:r>
        <w:t xml:space="preserve">does not yield</w:t>
      </w:r>
      <w:r>
        <w:t xml:space="preserve"> </w:t>
      </w:r>
      <w:r>
        <w:t xml:space="preserve">“</w:t>
      </w:r>
      <w:r>
        <w:t xml:space="preserve">God is a horse.</w:t>
      </w:r>
      <w:r>
        <w:t xml:space="preserve">”</w:t>
      </w:r>
    </w:p>
    <w:p>
      <w:pPr>
        <w:pStyle w:val="BodyText"/>
      </w:pPr>
      <w:r>
        <w:rPr>
          <w:b/>
          <w:bCs/>
        </w:rPr>
        <w:t xml:space="preserve">Explicit in the comparison witness:</w:t>
      </w:r>
      <w:r>
        <w:t xml:space="preserve"> </w:t>
      </w:r>
      <w:r>
        <w:rPr>
          <w:i/>
          <w:iCs/>
        </w:rPr>
        <w:t xml:space="preserve">Itinerarium</w:t>
      </w:r>
      <w:r>
        <w:t xml:space="preserve"> </w:t>
      </w:r>
      <w:r>
        <w:t xml:space="preserve">I.2 supplies the external vestige/internal image/above-the-self sequence; II.1 speaks of presence by essence, power, and presence. VI.2 locates maximal diffusion of goodness in eternal consubstantial Trinitarian production and contrasts temporal created diffusion with that fullness.</w:t>
      </w:r>
    </w:p>
    <w:p>
      <w:pPr>
        <w:pStyle w:val="BodyText"/>
      </w:pPr>
      <w:r>
        <w:rPr>
          <w:b/>
          <w:bCs/>
        </w:rPr>
        <w:t xml:space="preserve">Reconstruction and limit:</w:t>
      </w:r>
      <w:r>
        <w:t xml:space="preserve"> </w:t>
      </w:r>
      <w:r>
        <w:rPr>
          <w:i/>
          <w:iCs/>
        </w:rPr>
        <w:t xml:space="preserve">Bonum diffusivum sui</w:t>
      </w:r>
      <w:r>
        <w:t xml:space="preserve"> </w:t>
      </w:r>
      <w:r>
        <w:t xml:space="preserve">cannot simply be inserted as</w:t>
      </w:r>
      <w:r>
        <w:t xml:space="preserve"> </w:t>
      </w:r>
      <w:r>
        <w:t xml:space="preserve">“</w:t>
      </w:r>
      <w:r>
        <w:t xml:space="preserve">perfect goodness necessarily creates.</w:t>
      </w:r>
      <w:r>
        <w:t xml:space="preserve">”</w:t>
      </w:r>
      <w:r>
        <w:t xml:space="preserve"> </w:t>
      </w:r>
      <w:r>
        <w:t xml:space="preserve">The relevant text’s strongest diffusion concerns Father, Son, and Spirit. Whether its Trinitarian demonstration succeeds is a separate theological-philosophical problem; its ad intra communication must not be conflated with created ad extra communication. This passage supplies neither an independent proof of contingent creation nor a warrant for necessary emanation of this world.</w:t>
      </w:r>
    </w:p>
    <w:p>
      <w:pPr>
        <w:pStyle w:val="BodyText"/>
      </w:pPr>
      <w:r>
        <w:t xml:space="preserve">The consulted specialist account also describes illumination as involving both divine and created causes. It distinguishes the certainty associated with illumination from the abstraction and content supplied through creaturely faculties.</w:t>
      </w:r>
      <w:r>
        <w:t xml:space="preserve"> </w:t>
      </w:r>
      <w:r>
        <w:rPr>
          <w:b/>
          <w:bCs/>
        </w:rPr>
        <w:t xml:space="preserve">Proposal:</w:t>
      </w:r>
      <w:r>
        <w:t xml:space="preserve"> </w:t>
      </w:r>
      <w:r>
        <w:t xml:space="preserve">This is evidence against occasionalism and against replacing created perfections with an immediately divine operation. Epistemic illumination is still not a substitute for an argument about the ontological truthmakers of created goodness.</w:t>
      </w:r>
    </w:p>
    <w:p>
      <w:pPr>
        <w:pStyle w:val="BodyText"/>
      </w:pPr>
      <w:r>
        <w:rPr>
          <w:b/>
          <w:bCs/>
        </w:rPr>
        <w:t xml:space="preserve">Unverified primary leads:</w:t>
      </w:r>
      <w:r>
        <w:t xml:space="preserve"> </w:t>
      </w:r>
      <w:r>
        <w:rPr>
          <w:i/>
          <w:iCs/>
        </w:rPr>
        <w:t xml:space="preserve">Commentary on the Sentences</w:t>
      </w:r>
      <w:r>
        <w:t xml:space="preserve"> </w:t>
      </w:r>
      <w:r>
        <w:t xml:space="preserve">I, distinction 35, on divine knowledge/ideas, and</w:t>
      </w:r>
      <w:r>
        <w:t xml:space="preserve"> </w:t>
      </w:r>
      <w:r>
        <w:rPr>
          <w:i/>
          <w:iCs/>
        </w:rPr>
        <w:t xml:space="preserve">De scientia Christi</w:t>
      </w:r>
      <w:r>
        <w:t xml:space="preserve"> </w:t>
      </w:r>
      <w:r>
        <w:t xml:space="preserve">q.4, on eternal reason with created cognition, merit subsequent collation. The present dossier does not assign an unverified article/subquestion to the claim about multiple exemplars concerning creatures.</w:t>
      </w:r>
    </w:p>
    <w:bookmarkEnd w:id="373"/>
    <w:bookmarkStart w:id="374" w:name="Xd8f669554848857fa5ef9f25770c99a25561d75"/>
    <w:p>
      <w:pPr>
        <w:pStyle w:val="Heading3"/>
      </w:pPr>
      <w:r>
        <w:t xml:space="preserve">Henry of Ghent: possibility does not actualize itself</w:t>
      </w:r>
    </w:p>
    <w:p>
      <w:pPr>
        <w:pStyle w:val="FirstParagraph"/>
      </w:pPr>
      <w:r>
        <w:rPr>
          <w:b/>
          <w:bCs/>
        </w:rPr>
        <w:t xml:space="preserve">Explicit in the consulted SEP reconstruction:</w:t>
      </w:r>
      <w:r>
        <w:t xml:space="preserve"> </w:t>
      </w:r>
      <w:r>
        <w:t xml:space="preserve">Henry distinguishes</w:t>
      </w:r>
      <w:r>
        <w:t xml:space="preserve"> </w:t>
      </w:r>
      <w:r>
        <w:rPr>
          <w:i/>
          <w:iCs/>
        </w:rPr>
        <w:t xml:space="preserve">esse essentiae</w:t>
      </w:r>
      <w:r>
        <w:t xml:space="preserve"> </w:t>
      </w:r>
      <w:r>
        <w:t xml:space="preserve">from</w:t>
      </w:r>
      <w:r>
        <w:t xml:space="preserve"> </w:t>
      </w:r>
      <w:r>
        <w:rPr>
          <w:i/>
          <w:iCs/>
        </w:rPr>
        <w:t xml:space="preserve">esse existentiae</w:t>
      </w:r>
      <w:r>
        <w:t xml:space="preserve">. The former marks objective intelligibility/possibility, rather than a separately existing object, on the interpretation used by the article. The latter marks actual created existence. Essences depend on divine intellect as exemplary/formal cause; actualization depends on divine will as efficient cause. The article supplies</w:t>
      </w:r>
      <w:r>
        <w:t xml:space="preserve"> </w:t>
      </w:r>
      <w:r>
        <w:rPr>
          <w:i/>
          <w:iCs/>
        </w:rPr>
        <w:t xml:space="preserve">Summa</w:t>
      </w:r>
      <w:r>
        <w:t xml:space="preserve"> </w:t>
      </w:r>
      <w:r>
        <w:t xml:space="preserve">art.21 q.4 and art.24 q.3,</w:t>
      </w:r>
      <w:r>
        <w:t xml:space="preserve"> </w:t>
      </w:r>
      <w:r>
        <w:rPr>
          <w:i/>
          <w:iCs/>
        </w:rPr>
        <w:t xml:space="preserve">Quodlibet</w:t>
      </w:r>
      <w:r>
        <w:t xml:space="preserve"> </w:t>
      </w:r>
      <w:r>
        <w:t xml:space="preserve">IX q.2, X qq.7–8, and VIII qq.1–2 as important loci.</w:t>
      </w:r>
    </w:p>
    <w:p>
      <w:pPr>
        <w:pStyle w:val="BodyText"/>
      </w:pPr>
      <w:r>
        <w:t xml:space="preserve">The article expressly rejects an</w:t>
      </w:r>
      <w:r>
        <w:t xml:space="preserve"> </w:t>
      </w:r>
      <w:r>
        <w:t xml:space="preserve">“</w:t>
      </w:r>
      <w:r>
        <w:t xml:space="preserve">ultra-essentialist</w:t>
      </w:r>
      <w:r>
        <w:t xml:space="preserve">”</w:t>
      </w:r>
      <w:r>
        <w:t xml:space="preserve"> </w:t>
      </w:r>
      <w:r>
        <w:t xml:space="preserve">reading, originating with Suárez, that treats essential being as a separate being. It nevertheless notes real interpretive and developmental difficulty: Henry’s intentional distinction evolves, and his later account identifies essential being as prior to its quidditative determinations. A bare assertion that Henry straightforwardly agrees with a contemporary modal semantics would be inaccurate.</w:t>
      </w:r>
    </w:p>
    <w:p>
      <w:pPr>
        <w:pStyle w:val="BodyText"/>
      </w:pPr>
      <w:r>
        <w:rPr>
          <w:b/>
          <w:bCs/>
        </w:rPr>
        <w:t xml:space="preserve">Reconstruction:</w:t>
      </w:r>
      <w:r>
        <w:t xml:space="preserve"> </w:t>
      </w:r>
      <w:r>
        <w:t xml:space="preserve">The strongest reusable distinction is</w:t>
      </w:r>
      <w:r>
        <w:t xml:space="preserve"> </w:t>
      </w:r>
      <w:r>
        <w:rPr>
          <w:b/>
          <w:bCs/>
        </w:rPr>
        <w:t xml:space="preserve">what is intelligible does not thereby exist</w:t>
      </w:r>
      <w:r>
        <w:t xml:space="preserve">. God’s knowledge need not be passively informed by actual external creatures. Ideas concern ways divine essence is imitable; the exemplary object must be distinguished from the constituted essence and from its actual realization. This offers a resource for non-acquired knowledge and plurality without receptive cognition.</w:t>
      </w:r>
    </w:p>
    <w:p>
      <w:pPr>
        <w:pStyle w:val="BodyText"/>
      </w:pPr>
      <w:r>
        <w:rPr>
          <w:b/>
          <w:bCs/>
        </w:rPr>
        <w:t xml:space="preserve">Genuine incompatibility:</w:t>
      </w:r>
      <w:r>
        <w:t xml:space="preserve"> </w:t>
      </w:r>
      <w:r>
        <w:t xml:space="preserve">Henry’s hierarchy of possible essences is necessary, immutable, and closed on the account consulted; divine will freely selects actual individuals. His reservations about</w:t>
      </w:r>
      <w:r>
        <w:t xml:space="preserve"> </w:t>
      </w:r>
      <w:r>
        <w:rPr>
          <w:i/>
          <w:iCs/>
        </w:rPr>
        <w:t xml:space="preserve">potentia absoluta</w:t>
      </w:r>
      <w:r>
        <w:t xml:space="preserve"> </w:t>
      </w:r>
      <w:r>
        <w:t xml:space="preserve">and this fixed essential hierarchy cannot be harmonized away with a Scotist account of contingency. Retrieve the distinction between intelligibility and actualization without presenting Henry’s whole modal theory as common classical grammar.</w:t>
      </w:r>
    </w:p>
    <w:p>
      <w:pPr>
        <w:pStyle w:val="BodyText"/>
      </w:pPr>
      <w:r>
        <w:t xml:space="preserve">The article also states its disagreement with Pickavé over</w:t>
      </w:r>
      <w:r>
        <w:t xml:space="preserve"> </w:t>
      </w:r>
      <w:r>
        <w:rPr>
          <w:i/>
          <w:iCs/>
        </w:rPr>
        <w:t xml:space="preserve">Summa</w:t>
      </w:r>
      <w:r>
        <w:t xml:space="preserve"> </w:t>
      </w:r>
      <w:r>
        <w:t xml:space="preserve">art.21 qq.2–3: whether confusion of negatively indeterminate divine being with privatively indeterminate created being constitutes an error, and how this bears on the first analogous concept of being.</w:t>
      </w:r>
      <w:r>
        <w:t xml:space="preserve"> </w:t>
      </w:r>
      <w:r>
        <w:rPr>
          <w:b/>
          <w:bCs/>
        </w:rPr>
        <w:t xml:space="preserve">Limit:</w:t>
      </w:r>
      <w:r>
        <w:t xml:space="preserve"> </w:t>
      </w:r>
      <w:r>
        <w:t xml:space="preserve">“</w:t>
      </w:r>
      <w:r>
        <w:t xml:space="preserve">No common genus</w:t>
      </w:r>
      <w:r>
        <w:t xml:space="preserve">”</w:t>
      </w:r>
      <w:r>
        <w:t xml:space="preserve"> </w:t>
      </w:r>
      <w:r>
        <w:t xml:space="preserve">must not be inflated into universal agreement that no positive conceptual content can be predicated of God and creatures.</w:t>
      </w:r>
    </w:p>
    <w:bookmarkEnd w:id="374"/>
    <w:bookmarkStart w:id="377" w:name="consequences-for-a-minimal-basis"/>
    <w:p>
      <w:pPr>
        <w:pStyle w:val="Heading3"/>
      </w:pPr>
      <w:r>
        <w:t xml:space="preserve">Consequences for a minimal basis</w:t>
      </w:r>
    </w:p>
    <w:p>
      <w:pPr>
        <w:pStyle w:val="FirstParagraph"/>
      </w:pPr>
      <w:r>
        <w:t xml:space="preserve">These witnesses support five distinctions that cannot safely collapse: efficient origin versus material constitution; exemplary intelligibility versus actual existence; intrinsic actuality versus relational predication; positive likeness versus reproduction of a categorical mode; and created communication versus Trinitarian communication.</w:t>
      </w:r>
    </w:p>
    <w:p>
      <w:pPr>
        <w:pStyle w:val="BodyText"/>
      </w:pPr>
      <w:r>
        <w:t xml:space="preserve">The suggested basis</w:t>
      </w:r>
      <w:r>
        <w:t xml:space="preserve"> </w:t>
      </w:r>
      <w:r>
        <w:t xml:space="preserve">“</w:t>
      </w:r>
      <w:r>
        <w:t xml:space="preserve">actuality + received dependence + measure</w:t>
      </w:r>
      <w:r>
        <w:t xml:space="preserve">”</w:t>
      </w:r>
      <w:r>
        <w:t xml:space="preserve"> </w:t>
      </w:r>
      <w:r>
        <w:t xml:space="preserve">does not generate them without bridges. Anselm’s simplicity argument needs constitutive dependence; Bonaventure’s manifestation needs causal/exemplary adequacy; Henry’s contingency needs free will in addition to possibility. Non-exhaustion removes an argument that this finite effect completes God, but does not remove all possible arguments for necessary production. In a rival model, an infinitely adequate, unchanged, non-receptive source necessarily produces one finite effect: non-exhaustion holds while creation remains necessary.</w:t>
      </w:r>
    </w:p>
    <w:p>
      <w:pPr>
        <w:pStyle w:val="BodyText"/>
      </w:pPr>
      <w:r>
        <w:rPr>
          <w:b/>
          <w:bCs/>
        </w:rPr>
        <w:t xml:space="preserve">Constructive proposal:</w:t>
      </w:r>
      <w:r>
        <w:t xml:space="preserve"> </w:t>
      </w:r>
      <w:r>
        <w:t xml:space="preserve">Preserve these distinctions as constraints on a small modular theory. Test Anselmian dependence, Bonaventurian exemplarity, and Henrician modal distinction for compatibility at the level actually retrieved. Do not attribute the resulting semi-formal model to any of these authors, and do not count a bundle of logically separable bridges as one axiom merely because it has a historical label.</w:t>
      </w:r>
    </w:p>
    <w:p>
      <w:pPr>
        <w:pStyle w:val="BodyText"/>
      </w:pPr>
      <w:r>
        <w:t xml:space="preserve">Canonical publisher pages awaiting direct access:</w:t>
      </w:r>
      <w:r>
        <w:t xml:space="preserve"> </w:t>
      </w:r>
      <w:hyperlink r:id="rId375">
        <w:r>
          <w:rPr>
            <w:rStyle w:val="Hyperlink"/>
          </w:rPr>
          <w:t xml:space="preserve">Anselm</w:t>
        </w:r>
      </w:hyperlink>
      <w:r>
        <w:t xml:space="preserve">,</w:t>
      </w:r>
      <w:r>
        <w:t xml:space="preserve"> </w:t>
      </w:r>
      <w:hyperlink r:id="rId376">
        <w:r>
          <w:rPr>
            <w:rStyle w:val="Hyperlink"/>
          </w:rPr>
          <w:t xml:space="preserve">Bonaventure</w:t>
        </w:r>
      </w:hyperlink>
      <w:r>
        <w:t xml:space="preserve">,</w:t>
      </w:r>
      <w:r>
        <w:t xml:space="preserve"> </w:t>
      </w:r>
      <w:hyperlink r:id="rId290">
        <w:r>
          <w:rPr>
            <w:rStyle w:val="Hyperlink"/>
          </w:rPr>
          <w:t xml:space="preserve">Henry of Ghent</w:t>
        </w:r>
      </w:hyperlink>
      <w:r>
        <w:t xml:space="preserve">. Specialist names and author-year references found within the mirrored articles are leads for the next source-verification pass, not a bibliography of books read for this project.</w:t>
      </w:r>
    </w:p>
    <w:bookmarkEnd w:id="377"/>
    <w:bookmarkEnd w:id="378"/>
    <w:p>
      <w:pPr>
        <w:pStyle w:val="Heading1"/>
      </w:pPr>
      <w:r>
        <w:t xml:space="preserve">Appendix F — aquinas-scotus-newman.md</w:t>
      </w:r>
    </w:p>
    <w:p>
      <w:pPr>
        <w:pStyle w:val="FirstParagraph"/>
      </w:pPr>
      <w:r>
        <w:t xml:space="preserve">Original research file: https:/​/​participation-​6o4.​pages.​dev/​research/​aquinas-​scotus-​newman.​md</w:t>
      </w:r>
    </w:p>
    <w:bookmarkStart w:id="399" w:name="X089a85b6cc54477f43cf3fb9d4eeb854cb474cd"/>
    <w:p>
      <w:pPr>
        <w:pStyle w:val="Heading2"/>
      </w:pPr>
      <w:r>
        <w:t xml:space="preserve">Aquinas, Scotus, Przywara, Newman: disciplined resources and limits</w:t>
      </w:r>
    </w:p>
    <w:p>
      <w:pPr>
        <w:pStyle w:val="FirstParagraph"/>
      </w:pPr>
      <w:r>
        <w:t xml:space="preserve">Research status: primary Aquinas and Newman texts were downloaded over verified HTTPS and the passages below were inspected. An archived SEP Scotus article was subsequently recovered and inspected through a GitHub research corpus; its exact revision and stripped bibliographic metadata remain unknown. Scotus primary texts, Przywara, and specialist monographs are</w:t>
      </w:r>
      <w:r>
        <w:t xml:space="preserve"> </w:t>
      </w:r>
      <w:r>
        <w:rPr>
          <w:b/>
          <w:bCs/>
        </w:rPr>
        <w:t xml:space="preserve">bibliographic leads not directly consulted in this environment</w:t>
      </w:r>
      <w:r>
        <w:t xml:space="preserve">; do not turn those leads into source-verified quotations. Direct scholarly domains returned proxy HTTP 403. This distinction limits claims about exhaustive scholarship.</w:t>
      </w:r>
    </w:p>
    <w:p>
      <w:pPr>
        <w:pStyle w:val="BodyText"/>
      </w:pPr>
      <w:r>
        <w:rPr>
          <w:b/>
          <w:bCs/>
        </w:rPr>
        <w:t xml:space="preserve">Labels:</w:t>
      </w:r>
      <w:r>
        <w:t xml:space="preserve"> </w:t>
      </w:r>
      <w:r>
        <w:rPr>
          <w:b/>
          <w:bCs/>
        </w:rPr>
        <w:t xml:space="preserve">[T]</w:t>
      </w:r>
      <w:r>
        <w:t xml:space="preserve"> </w:t>
      </w:r>
      <w:r>
        <w:t xml:space="preserve">explicit inspected text;</w:t>
      </w:r>
      <w:r>
        <w:t xml:space="preserve"> </w:t>
      </w:r>
      <w:r>
        <w:rPr>
          <w:b/>
          <w:bCs/>
        </w:rPr>
        <w:t xml:space="preserve">[R]</w:t>
      </w:r>
      <w:r>
        <w:t xml:space="preserve"> </w:t>
      </w:r>
      <w:r>
        <w:t xml:space="preserve">reconstruction of inspected arguments;</w:t>
      </w:r>
      <w:r>
        <w:t xml:space="preserve"> </w:t>
      </w:r>
      <w:r>
        <w:rPr>
          <w:b/>
          <w:bCs/>
        </w:rPr>
        <w:t xml:space="preserve">[C]</w:t>
      </w:r>
      <w:r>
        <w:t xml:space="preserve"> </w:t>
      </w:r>
      <w:r>
        <w:t xml:space="preserve">constructive proposal;</w:t>
      </w:r>
      <w:r>
        <w:t xml:space="preserve"> </w:t>
      </w:r>
      <w:r>
        <w:rPr>
          <w:b/>
          <w:bCs/>
        </w:rPr>
        <w:t xml:space="preserve">[S]</w:t>
      </w:r>
      <w:r>
        <w:t xml:space="preserve"> </w:t>
      </w:r>
      <w:r>
        <w:t xml:space="preserve">inspected secondary interpretation;</w:t>
      </w:r>
      <w:r>
        <w:t xml:space="preserve"> </w:t>
      </w:r>
      <w:r>
        <w:rPr>
          <w:b/>
          <w:bCs/>
        </w:rPr>
        <w:t xml:space="preserve">[L]</w:t>
      </w:r>
      <w:r>
        <w:t xml:space="preserve"> </w:t>
      </w:r>
      <w:r>
        <w:t xml:space="preserve">source or interpretation awaiting inspection. Nothing here claims that a modern formal model is a historical author’s own formalism.</w:t>
      </w:r>
    </w:p>
    <w:bookmarkStart w:id="381" w:name="verified-primary-texts"/>
    <w:p>
      <w:pPr>
        <w:pStyle w:val="Heading3"/>
      </w:pPr>
      <w:r>
        <w:t xml:space="preserve">Verified primary texts</w:t>
      </w:r>
    </w:p>
    <w:p>
      <w:pPr>
        <w:numPr>
          <w:ilvl w:val="0"/>
          <w:numId w:val="1014"/>
        </w:numPr>
      </w:pPr>
      <w:r>
        <w:t xml:space="preserve">Thomas Aquinas,</w:t>
      </w:r>
      <w:r>
        <w:t xml:space="preserve"> </w:t>
      </w:r>
      <w:r>
        <w:rPr>
          <w:i/>
          <w:iCs/>
        </w:rPr>
        <w:t xml:space="preserve">Summa theologiae</w:t>
      </w:r>
      <w:r>
        <w:t xml:space="preserve">, Prima Pars, translated by the Fathers of the English Dominican Province, Project Gutenberg #17611; full text inspected through the</w:t>
      </w:r>
      <w:r>
        <w:t xml:space="preserve"> </w:t>
      </w:r>
      <w:hyperlink r:id="rId278">
        <w:r>
          <w:rPr>
            <w:rStyle w:val="Hyperlink"/>
          </w:rPr>
          <w:t xml:space="preserve">GITenberg mirror</w:t>
        </w:r>
      </w:hyperlink>
      <w:r>
        <w:t xml:space="preserve">. This is an established historical translation, not a substitute for consulting the Leonine Latin on disputed vocabulary. Stable individual-question links below point to the same translation on New Advent; New Advent was blocked during this run.</w:t>
      </w:r>
    </w:p>
    <w:p>
      <w:pPr>
        <w:numPr>
          <w:ilvl w:val="0"/>
          <w:numId w:val="1014"/>
        </w:numPr>
      </w:pPr>
      <w:r>
        <w:t xml:space="preserve">John Henry Newman,</w:t>
      </w:r>
      <w:r>
        <w:t xml:space="preserve"> </w:t>
      </w:r>
      <w:r>
        <w:rPr>
          <w:i/>
          <w:iCs/>
        </w:rPr>
        <w:t xml:space="preserve">An Essay on the Development of Christian Doctrine</w:t>
      </w:r>
      <w:r>
        <w:t xml:space="preserve">, Project Gutenberg #35110;</w:t>
      </w:r>
      <w:r>
        <w:t xml:space="preserve"> </w:t>
      </w:r>
      <w:hyperlink r:id="rId379">
        <w:r>
          <w:rPr>
            <w:rStyle w:val="Hyperlink"/>
          </w:rPr>
          <w:t xml:space="preserve">full GITenberg text</w:t>
        </w:r>
      </w:hyperlink>
      <w:r>
        <w:t xml:space="preserve">, especially chapter V. Its table of contents and chapter-V passages were checked. The</w:t>
      </w:r>
      <w:r>
        <w:t xml:space="preserve"> </w:t>
      </w:r>
      <w:hyperlink r:id="rId380">
        <w:r>
          <w:rPr>
            <w:rStyle w:val="Hyperlink"/>
          </w:rPr>
          <w:t xml:space="preserve">Newman Reader chapter</w:t>
        </w:r>
      </w:hyperlink>
      <w:r>
        <w:t xml:space="preserve"> </w:t>
      </w:r>
      <w:r>
        <w:t xml:space="preserve">remains a useful alternative but was blocked during this run.</w:t>
      </w:r>
    </w:p>
    <w:p>
      <w:pPr>
        <w:numPr>
          <w:ilvl w:val="0"/>
          <w:numId w:val="1014"/>
        </w:numPr>
      </w:pPr>
      <w:r>
        <w:rPr>
          <w:b/>
          <w:bCs/>
        </w:rPr>
        <w:t xml:space="preserve">[S]</w:t>
      </w:r>
      <w:r>
        <w:t xml:space="preserve"> </w:t>
      </w:r>
      <w:r>
        <w:t xml:space="preserve">Archived SEP article</w:t>
      </w:r>
      <w:r>
        <w:t xml:space="preserve"> </w:t>
      </w:r>
      <w:r>
        <w:rPr>
          <w:rStyle w:val="VerbatimChar"/>
        </w:rPr>
        <w:t xml:space="preserve">duns-scotus</w:t>
      </w:r>
      <w:r>
        <w:t xml:space="preserve">, retrieved from the</w:t>
      </w:r>
      <w:r>
        <w:t xml:space="preserve"> </w:t>
      </w:r>
      <w:hyperlink r:id="rId284">
        <w:r>
          <w:rPr>
            <w:rStyle w:val="Hyperlink"/>
          </w:rPr>
          <w:t xml:space="preserve">philo2vec corpus</w:t>
        </w:r>
      </w:hyperlink>
      <w:r>
        <w:t xml:space="preserve">, identified by the corpus entry, inspected as paragraphs in</w:t>
      </w:r>
      <w:r>
        <w:t xml:space="preserve"> </w:t>
      </w:r>
      <w:r>
        <w:rPr>
          <w:rStyle w:val="VerbatimChar"/>
        </w:rPr>
        <w:t xml:space="preserve">/tmp/latin-sources/mirror-duns-scotus.txt</w:t>
      </w:r>
      <w:r>
        <w:t xml:space="preserve">. Corpus README identifies SEP provenance; repository commit dates the archive no later than 12 August 2016. Exact article revision, author header, and bibliography were omitted from the extraction. Treat as historical specialist commentary, not verified current coverage.</w:t>
      </w:r>
    </w:p>
    <w:bookmarkEnd w:id="381"/>
    <w:bookmarkStart w:id="392" w:name="X57aea182b3a733b751520c137ed04b50b39a98b"/>
    <w:p>
      <w:pPr>
        <w:pStyle w:val="Heading3"/>
      </w:pPr>
      <w:r>
        <w:t xml:space="preserve">1. Aquinas: distinct commitments, not one self-explanatory word</w:t>
      </w:r>
    </w:p>
    <w:p>
      <w:pPr>
        <w:pStyle w:val="FirstParagraph"/>
      </w:pPr>
      <w:r>
        <w:rPr>
          <w:b/>
          <w:bCs/>
        </w:rPr>
        <w:t xml:space="preserve">[T] Participation and causality.</w:t>
      </w:r>
      <w:r>
        <w:t xml:space="preserve"> </w:t>
      </w:r>
      <w:hyperlink r:id="rId382">
        <w:r>
          <w:rPr>
            <w:rStyle w:val="Hyperlink"/>
          </w:rPr>
          <w:t xml:space="preserve">ST I.44.1</w:t>
        </w:r>
      </w:hyperlink>
      <w:r>
        <w:t xml:space="preserve"> </w:t>
      </w:r>
      <w:r>
        <w:t xml:space="preserve">argues that what has being by participation is caused by what has it essentially; the argument invokes earlier conclusions that God is subsisting being and that subsisting being is one. This is not a deduction from the bare word</w:t>
      </w:r>
      <w:r>
        <w:t xml:space="preserve"> </w:t>
      </w:r>
      <w:r>
        <w:rPr>
          <w:i/>
          <w:iCs/>
        </w:rPr>
        <w:t xml:space="preserve">participation</w:t>
      </w:r>
      <w:r>
        <w:t xml:space="preserve">. It imports substantive commitments about essential possession, causal priority, and uniqueness. The reply to objection 1 distinguishes the essence or definition of a caused thing from its consequent relation to its cause. The reply to objection 2 explicitly allows necessary beings to have causes of their necessity.</w:t>
      </w:r>
    </w:p>
    <w:p>
      <w:pPr>
        <w:pStyle w:val="BodyText"/>
      </w:pPr>
      <w:r>
        <w:rPr>
          <w:b/>
          <w:bCs/>
        </w:rPr>
        <w:t xml:space="preserve">[C] Formal consequence:</w:t>
      </w:r>
      <w:r>
        <w:t xml:space="preserve"> </w:t>
      </w:r>
      <w:r>
        <w:t xml:space="preserve">do not define dependence as merely</w:t>
      </w:r>
      <w:r>
        <w:t xml:space="preserve"> </w:t>
      </w:r>
      <w:r>
        <w:t xml:space="preserve">“</w:t>
      </w:r>
      <w:r>
        <w:t xml:space="preserve">would not exist if its source did not exist.</w:t>
      </w:r>
      <w:r>
        <w:t xml:space="preserve">”</w:t>
      </w:r>
      <w:r>
        <w:t xml:space="preserve"> </w:t>
      </w:r>
      <w:r>
        <w:t xml:space="preserve">With a necessary source that counterfactual may be vacuous; necessary derivative beings can still depend. An explanatory or productive dependence relation must carry more information than modal covariance. Conversely, dependent actuality alone does not establish likeness, infinite source, or freedom.</w:t>
      </w:r>
    </w:p>
    <w:p>
      <w:pPr>
        <w:pStyle w:val="BodyText"/>
      </w:pPr>
      <w:r>
        <w:rPr>
          <w:b/>
          <w:bCs/>
        </w:rPr>
        <w:t xml:space="preserve">[T] No shared genus.</w:t>
      </w:r>
      <w:r>
        <w:t xml:space="preserve"> </w:t>
      </w:r>
      <w:hyperlink r:id="rId383">
        <w:r>
          <w:rPr>
            <w:rStyle w:val="Hyperlink"/>
          </w:rPr>
          <w:t xml:space="preserve">ST I.3.5</w:t>
        </w:r>
      </w:hyperlink>
      <w:r>
        <w:t xml:space="preserve"> </w:t>
      </w:r>
      <w:r>
        <w:t xml:space="preserve">denies that God belongs to a genus, either as a species or as the principle reducible to that genus. Its grounds include the distinctions between essence/existence and actuality/potentiality, and God’s universal causal scope. It does not infer non-generic status from numerical difference alone. In I.4.3 the creature’s likeness is explicitly distinguished from sameness of specific or generic formality. There is real likeness through analogy, rather than a divine and creaturely species under a common genus.</w:t>
      </w:r>
    </w:p>
    <w:p>
      <w:pPr>
        <w:pStyle w:val="BodyText"/>
      </w:pPr>
      <w:r>
        <w:rPr>
          <w:b/>
          <w:bCs/>
        </w:rPr>
        <w:t xml:space="preserve">[T] Causal likeness has a bridge.</w:t>
      </w:r>
      <w:r>
        <w:t xml:space="preserve"> </w:t>
      </w:r>
      <w:hyperlink r:id="rId384">
        <w:r>
          <w:rPr>
            <w:rStyle w:val="Hyperlink"/>
          </w:rPr>
          <w:t xml:space="preserve">ST I.4.2–3</w:t>
        </w:r>
      </w:hyperlink>
      <w:r>
        <w:t xml:space="preserve"> </w:t>
      </w:r>
      <w:r>
        <w:t xml:space="preserve">argues that an effect’s perfection must be in its effective cause either under the same formality or more eminently. Every agent produces an effect according to its form; this motivates some resemblance even in non-univocal causality. I.4.3 distinguishes equal likeness, unequal likeness within the same formality, and analogical likeness without common specific/generic formality.</w:t>
      </w:r>
      <w:r>
        <w:t xml:space="preserve"> </w:t>
      </w:r>
      <w:r>
        <w:rPr>
          <w:b/>
          <w:bCs/>
        </w:rPr>
        <w:t xml:space="preserve">[R]</w:t>
      </w:r>
      <w:r>
        <w:t xml:space="preserve"> </w:t>
      </w:r>
      <w:r>
        <w:t xml:space="preserve">Thus causal adequacy is a metaphysical principle employed by Aquinas, not a theorem of the uninterpreted relation</w:t>
      </w:r>
      <w:r>
        <w:t xml:space="preserve"> </w:t>
      </w:r>
      <w:r>
        <w:t xml:space="preserve">“</w:t>
      </w:r>
      <w:r>
        <w:t xml:space="preserve">causes.</w:t>
      </w:r>
      <w:r>
        <w:t xml:space="preserve">”</w:t>
      </w:r>
      <w:r>
        <w:t xml:space="preserve"> </w:t>
      </w:r>
      <w:r>
        <w:t xml:space="preserve">A contemporary formalization must state the bridge openly.</w:t>
      </w:r>
    </w:p>
    <w:p>
      <w:pPr>
        <w:pStyle w:val="BodyText"/>
      </w:pPr>
      <w:r>
        <w:rPr>
          <w:b/>
          <w:bCs/>
        </w:rPr>
        <w:t xml:space="preserve">[C] Semantic safeguard:</w:t>
      </w:r>
      <w:r>
        <w:t xml:space="preserve"> </w:t>
      </w:r>
      <w:r>
        <w:t xml:space="preserve">a common predicate or representational</w:t>
      </w:r>
      <w:r>
        <w:t xml:space="preserve"> </w:t>
      </w:r>
      <w:r>
        <w:t xml:space="preserve">“</w:t>
      </w:r>
      <w:r>
        <w:t xml:space="preserve">perfection coordinate</w:t>
      </w:r>
      <w:r>
        <w:t xml:space="preserve">”</w:t>
      </w:r>
      <w:r>
        <w:t xml:space="preserve"> </w:t>
      </w:r>
      <w:r>
        <w:t xml:space="preserve">is not automatically a genus. A genus is a shared categorial essence specified by differences. Nevertheless, if the formal representation makes God and creatures instances of exactly the same intrinsic property-kind and differs only by degree, it has quietly recreated what the stronger analogical account rejects. Separate positive perfection from its created realization; spatial shape and color cannot simply be attributed to God in the same way as to bodies.</w:t>
      </w:r>
    </w:p>
    <w:p>
      <w:pPr>
        <w:pStyle w:val="BodyText"/>
      </w:pPr>
      <w:r>
        <w:rPr>
          <w:b/>
          <w:bCs/>
        </w:rPr>
        <w:t xml:space="preserve">[T] Reception belongs to the recipient.</w:t>
      </w:r>
      <w:r>
        <w:t xml:space="preserve"> </w:t>
      </w:r>
      <w:r>
        <w:t xml:space="preserve">ST I.84.1 states that</w:t>
      </w:r>
      <w:r>
        <w:t xml:space="preserve"> </w:t>
      </w:r>
      <w:r>
        <w:t xml:space="preserve">“</w:t>
      </w:r>
      <w:r>
        <w:t xml:space="preserve">the received is in the receiver according to the mode of the receiver,</w:t>
      </w:r>
      <w:r>
        <w:t xml:space="preserve">”</w:t>
      </w:r>
      <w:r>
        <w:t xml:space="preserve"> </w:t>
      </w:r>
      <w:r>
        <w:t xml:space="preserve">explaining why the intellect’s immaterial reception of a bodily form does not make the external thing immaterial. I.12.4 similarly separates the object’s being from the knower’s mode. I.89.4 applies the general recipient principle to infused cognitive species.</w:t>
      </w:r>
      <w:r>
        <w:t xml:space="preserve"> </w:t>
      </w:r>
      <w:r>
        <w:rPr>
          <w:b/>
          <w:bCs/>
        </w:rPr>
        <w:t xml:space="preserve">[R]</w:t>
      </w:r>
      <w:r>
        <w:t xml:space="preserve"> </w:t>
      </w:r>
      <w:r>
        <w:t xml:space="preserve">These are particularly useful anti-smuggling texts: knowing or expressing something under a finite mode does not transfer that mode into the thing known or expressed. They are not, by themselves, proofs that any source is unlimited.</w:t>
      </w:r>
    </w:p>
    <w:p>
      <w:pPr>
        <w:pStyle w:val="BodyText"/>
      </w:pPr>
      <w:r>
        <w:rPr>
          <w:b/>
          <w:bCs/>
        </w:rPr>
        <w:t xml:space="preserve">[T] Infinity needs ontology.</w:t>
      </w:r>
      <w:r>
        <w:t xml:space="preserve"> </w:t>
      </w:r>
      <w:hyperlink r:id="rId385">
        <w:r>
          <w:rPr>
            <w:rStyle w:val="Hyperlink"/>
          </w:rPr>
          <w:t xml:space="preserve">ST I.7.1</w:t>
        </w:r>
      </w:hyperlink>
      <w:r>
        <w:t xml:space="preserve"> </w:t>
      </w:r>
      <w:r>
        <w:t xml:space="preserve">derives divine infinity from subsisting being not received in anything, within Aquinas’s account of matter/form and contraction. I.7.2 distinguishes a form’s relative independence from matter from absolute infinity: created immaterial forms still receive being.</w:t>
      </w:r>
      <w:r>
        <w:t xml:space="preserve"> </w:t>
      </w:r>
      <w:r>
        <w:rPr>
          <w:b/>
          <w:bCs/>
        </w:rPr>
        <w:t xml:space="preserve">[C]</w:t>
      </w:r>
      <w:r>
        <w:t xml:space="preserve"> </w:t>
      </w:r>
      <w:r>
        <w:t xml:space="preserve">“</w:t>
      </w:r>
      <w:r>
        <w:t xml:space="preserve">Unreceived in respect r</w:t>
      </w:r>
      <w:r>
        <w:t xml:space="preserve">”</w:t>
      </w:r>
      <w:r>
        <w:t xml:space="preserve"> </w:t>
      </w:r>
      <w:r>
        <w:t xml:space="preserve">is weaker than</w:t>
      </w:r>
      <w:r>
        <w:t xml:space="preserve"> </w:t>
      </w:r>
      <w:r>
        <w:t xml:space="preserve">“</w:t>
      </w:r>
      <w:r>
        <w:t xml:space="preserve">unlimited in every respect.</w:t>
      </w:r>
      <w:r>
        <w:t xml:space="preserve">”</w:t>
      </w:r>
      <w:r>
        <w:t xml:space="preserve"> </w:t>
      </w:r>
      <w:r>
        <w:t xml:space="preserve">A finite brute independent source is a logical countermodel unless a separate limitation principle excludes it. Non-exhaustion therefore belongs to an infinity layer, not the generic definition of participation.</w:t>
      </w:r>
    </w:p>
    <w:p>
      <w:pPr>
        <w:pStyle w:val="BodyText"/>
      </w:pPr>
      <w:r>
        <w:rPr>
          <w:b/>
          <w:bCs/>
        </w:rPr>
        <w:t xml:space="preserve">[T] Presence without constituency.</w:t>
      </w:r>
      <w:r>
        <w:t xml:space="preserve"> </w:t>
      </w:r>
      <w:hyperlink r:id="rId383">
        <w:r>
          <w:rPr>
            <w:rStyle w:val="Hyperlink"/>
          </w:rPr>
          <w:t xml:space="preserve">ST I.3.8</w:t>
        </w:r>
      </w:hyperlink>
      <w:r>
        <w:t xml:space="preserve"> </w:t>
      </w:r>
      <w:r>
        <w:t xml:space="preserve">excludes God as either material or formal component of creatures. The reply to objection 1 construes God as their efficient and exemplar cause, not their essence; objection 2’s uncreated form is answered as exemplar, not constituent form.</w:t>
      </w:r>
      <w:r>
        <w:t xml:space="preserve"> </w:t>
      </w:r>
      <w:hyperlink r:id="rId386">
        <w:r>
          <w:rPr>
            <w:rStyle w:val="Hyperlink"/>
          </w:rPr>
          <w:t xml:space="preserve">I.8.1</w:t>
        </w:r>
      </w:hyperlink>
      <w:r>
        <w:t xml:space="preserve"> </w:t>
      </w:r>
      <w:r>
        <w:t xml:space="preserve">then gives the positive account: God is present as agent, sustains being for as long as the creature exists, and is intimate because being is innermost. This combines production, conservation, and non-constitution.</w:t>
      </w:r>
      <w:r>
        <w:t xml:space="preserve"> </w:t>
      </w:r>
      <w:r>
        <w:rPr>
          <w:b/>
          <w:bCs/>
        </w:rPr>
        <w:t xml:space="preserve">[R]</w:t>
      </w:r>
      <w:r>
        <w:t xml:space="preserve"> </w:t>
      </w:r>
      <w:r>
        <w:t xml:space="preserve">An initial-cause axiom alone leaves deism open; continuing causal dependence is required for the intended intimacy.</w:t>
      </w:r>
    </w:p>
    <w:p>
      <w:pPr>
        <w:pStyle w:val="BodyText"/>
      </w:pPr>
      <w:r>
        <w:rPr>
          <w:b/>
          <w:bCs/>
        </w:rPr>
        <w:t xml:space="preserve">[T] Real creaturely goodness.</w:t>
      </w:r>
      <w:r>
        <w:t xml:space="preserve"> </w:t>
      </w:r>
      <w:r>
        <w:t xml:space="preserve">ST I.6.4 says creatures are good through their own created goodness while dependent upon divine goodness as exemplar, efficient, and final cause. I.15.1 rejects ideas existing outside God as independent explanatory entities. I.44.2 brings primary matter itself within creation; I.44.3 locates exemplarity in divine wisdom, while allowing subordinate exemplars within creation.</w:t>
      </w:r>
      <w:r>
        <w:t xml:space="preserve"> </w:t>
      </w:r>
      <w:r>
        <w:rPr>
          <w:b/>
          <w:bCs/>
        </w:rPr>
        <w:t xml:space="preserve">[C]</w:t>
      </w:r>
      <w:r>
        <w:t xml:space="preserve"> </w:t>
      </w:r>
      <w:r>
        <w:t xml:space="preserve">This excludes independent Platonic Forms as ultimate co-sources, not every created universal, mathematical object, or secondary exemplar; those require further ontological decisions.</w:t>
      </w:r>
    </w:p>
    <w:p>
      <w:pPr>
        <w:pStyle w:val="BodyText"/>
      </w:pPr>
      <w:r>
        <w:rPr>
          <w:b/>
          <w:bCs/>
        </w:rPr>
        <w:t xml:space="preserve">[T] Multiplicity without acquired divine images.</w:t>
      </w:r>
      <w:r>
        <w:t xml:space="preserve"> </w:t>
      </w:r>
      <w:hyperlink r:id="rId387">
        <w:r>
          <w:rPr>
            <w:rStyle w:val="Hyperlink"/>
          </w:rPr>
          <w:t xml:space="preserve">ST I.15.2</w:t>
        </w:r>
      </w:hyperlink>
      <w:r>
        <w:t xml:space="preserve"> </w:t>
      </w:r>
      <w:r>
        <w:t xml:space="preserve">distinguishes the objects understood from the forms by which understanding is actualized. Many ideas are the divine essence understood as variously imitable; they do not form God through multiple acquired cognitive images. Replies 3–4 locate the relevant ideal comparisons in divine understanding, not in creaturely effects as causes of God’s eternal knowledge.</w:t>
      </w:r>
      <w:r>
        <w:t xml:space="preserve"> </w:t>
      </w:r>
      <w:r>
        <w:rPr>
          <w:b/>
          <w:bCs/>
        </w:rPr>
        <w:t xml:space="preserve">[R]</w:t>
      </w:r>
      <w:r>
        <w:t xml:space="preserve"> </w:t>
      </w:r>
      <w:r>
        <w:t xml:space="preserve">This supplies a disciplined precursor to distinguishing one intrinsic actuality from multiple object-relative determinations. It does not justify identifying all such distinctions with merely arbitrary human descriptions.</w:t>
      </w:r>
    </w:p>
    <w:p>
      <w:pPr>
        <w:pStyle w:val="BodyText"/>
      </w:pPr>
      <w:r>
        <w:rPr>
          <w:b/>
          <w:bCs/>
        </w:rPr>
        <w:t xml:space="preserve">[T] Mixed relations.</w:t>
      </w:r>
      <w:r>
        <w:t xml:space="preserve"> </w:t>
      </w:r>
      <w:hyperlink r:id="rId388">
        <w:r>
          <w:rPr>
            <w:rStyle w:val="Hyperlink"/>
          </w:rPr>
          <w:t xml:space="preserve">ST I.13.7</w:t>
        </w:r>
      </w:hyperlink>
      <w:r>
        <w:t xml:space="preserve"> </w:t>
      </w:r>
      <w:r>
        <w:t xml:space="preserve">distinguishes relations real at both termini, relations of reason at both, and a relation real on one side only. Creatures are really related to God; God’s ad-extra relative denomination introduces no change or acquired relational accident in God. Reply 5 insists that divine lordship is real because creaturely subjection is real.</w:t>
      </w:r>
      <w:r>
        <w:t xml:space="preserve"> </w:t>
      </w:r>
      <w:hyperlink r:id="rId389">
        <w:r>
          <w:rPr>
            <w:rStyle w:val="Hyperlink"/>
          </w:rPr>
          <w:t xml:space="preserve">I.45.3</w:t>
        </w:r>
      </w:hyperlink>
      <w:r>
        <w:t xml:space="preserve"> </w:t>
      </w:r>
      <w:r>
        <w:t xml:space="preserve">applies this distinction to creation: passive creation is a real creaturely relation; active creation names divine action with a relation of reason to the creature.</w:t>
      </w:r>
    </w:p>
    <w:p>
      <w:pPr>
        <w:pStyle w:val="BodyText"/>
      </w:pPr>
      <w:r>
        <w:rPr>
          <w:b/>
          <w:bCs/>
        </w:rPr>
        <w:t xml:space="preserve">[C] Formalization safeguard:</w:t>
      </w:r>
      <w:r>
        <w:t xml:space="preserve"> </w:t>
      </w:r>
      <w:r>
        <w:t xml:space="preserve">a true binary proposition can concern both relata without an intrinsic accident being added to both.</w:t>
      </w:r>
      <w:r>
        <w:t xml:space="preserve"> </w:t>
      </w:r>
      <w:r>
        <w:t xml:space="preserve">“</w:t>
      </w:r>
      <w:r>
        <w:t xml:space="preserve">Real in the creature</w:t>
      </w:r>
      <w:r>
        <w:t xml:space="preserve">”</w:t>
      </w:r>
      <w:r>
        <w:t xml:space="preserve"> </w:t>
      </w:r>
      <w:r>
        <w:t xml:space="preserve">concerns how the relation is grounded, not whether its inverse sentence is true. This should be called an interpretation of medieval mixed relations, not claimed to be Aquinas’s theory of modern abstract relational facts. Do not generalize ad-extra non-acquisition into denial of real divine personal relations: I.15.2 ad4 explicitly contrasts ideal relations with relations distinguishing the Persons.</w:t>
      </w:r>
    </w:p>
    <w:p>
      <w:pPr>
        <w:pStyle w:val="BodyText"/>
      </w:pPr>
      <w:r>
        <w:rPr>
          <w:b/>
          <w:bCs/>
        </w:rPr>
        <w:t xml:space="preserve">[T] Non-rivalry requires secondary causes.</w:t>
      </w:r>
      <w:r>
        <w:t xml:space="preserve"> </w:t>
      </w:r>
      <w:hyperlink r:id="rId390">
        <w:r>
          <w:rPr>
            <w:rStyle w:val="Hyperlink"/>
          </w:rPr>
          <w:t xml:space="preserve">ST I.105.5</w:t>
        </w:r>
      </w:hyperlink>
      <w:r>
        <w:t xml:space="preserve"> </w:t>
      </w:r>
      <w:r>
        <w:t xml:space="preserve">directly rejects the claim that created powers effect nothing while God alone does everything. The creature has its proper operation; reply 2 allows the same action to proceed from primary and secondary agents of different orders.</w:t>
      </w:r>
      <w:r>
        <w:t xml:space="preserve"> </w:t>
      </w:r>
      <w:r>
        <w:rPr>
          <w:b/>
          <w:bCs/>
        </w:rPr>
        <w:t xml:space="preserve">[C]</w:t>
      </w:r>
      <w:r>
        <w:t xml:space="preserve"> </w:t>
      </w:r>
      <w:r>
        <w:t xml:space="preserve">Total dependence without identity remains compatible with occasionalism unless creaturely efficacy is added. Source-caused capacities and their genuine exercise are needed for strong noncompetitive causality.</w:t>
      </w:r>
    </w:p>
    <w:p>
      <w:pPr>
        <w:pStyle w:val="BodyText"/>
      </w:pPr>
      <w:r>
        <w:rPr>
          <w:b/>
          <w:bCs/>
        </w:rPr>
        <w:t xml:space="preserve">[T] Freedom includes will and an unnecessary means.</w:t>
      </w:r>
      <w:r>
        <w:t xml:space="preserve"> </w:t>
      </w:r>
      <w:hyperlink r:id="rId391">
        <w:r>
          <w:rPr>
            <w:rStyle w:val="Hyperlink"/>
          </w:rPr>
          <w:t xml:space="preserve">ST I.19.3</w:t>
        </w:r>
      </w:hyperlink>
      <w:r>
        <w:t xml:space="preserve"> </w:t>
      </w:r>
      <w:r>
        <w:t xml:space="preserve">distinguishes absolute necessity from necessity by supposition. God necessarily wills divine goodness; finite goods are not required for that goodness and add no perfection. Their willing is not absolutely necessary; ad5 identifies God’s self-determining will.</w:t>
      </w:r>
      <w:r>
        <w:t xml:space="preserve"> </w:t>
      </w:r>
      <w:r>
        <w:rPr>
          <w:b/>
          <w:bCs/>
        </w:rPr>
        <w:t xml:space="preserve">[C]</w:t>
      </w:r>
      <w:r>
        <w:t xml:space="preserve"> </w:t>
      </w:r>
      <w:r>
        <w:t xml:space="preserve">Non-exhaustion alone does not supply this result. An inexhaustible source might necessarily produce this non-exhaustive world. To infer contingency, add admissible alternatives and a mode of communication not necessitated by intrinsic fullness; to infer</w:t>
      </w:r>
      <w:r>
        <w:t xml:space="preserve"> </w:t>
      </w:r>
      <w:r>
        <w:rPr>
          <w:i/>
          <w:iCs/>
        </w:rPr>
        <w:t xml:space="preserve">freedom</w:t>
      </w:r>
      <w:r>
        <w:t xml:space="preserve">, add intentional self-determination. Contemporary possible-world consistency is a constructive task beyond quoting I.19.3.</w:t>
      </w:r>
    </w:p>
    <w:bookmarkEnd w:id="392"/>
    <w:bookmarkStart w:id="394" w:name="X47c87cf8b666a29e890012b85c73068cfb82223"/>
    <w:p>
      <w:pPr>
        <w:pStyle w:val="Heading3"/>
      </w:pPr>
      <w:r>
        <w:t xml:space="preserve">2. Scotus: indispensable resistance to homogenization</w:t>
      </w:r>
    </w:p>
    <w:p>
      <w:pPr>
        <w:pStyle w:val="FirstParagraph"/>
      </w:pPr>
      <w:r>
        <w:rPr>
          <w:b/>
          <w:bCs/>
        </w:rPr>
        <w:t xml:space="preserve">[L] Primary loci to inspect:</w:t>
      </w:r>
      <w:r>
        <w:t xml:space="preserve"> </w:t>
      </w:r>
      <w:r>
        <w:rPr>
          <w:i/>
          <w:iCs/>
        </w:rPr>
        <w:t xml:space="preserve">Ordinatio</w:t>
      </w:r>
      <w:r>
        <w:t xml:space="preserve"> </w:t>
      </w:r>
      <w:r>
        <w:t xml:space="preserve">I d.3 p.1 qq.1–2, on the concept of being and natural knowledge of God; I d.8 p.1 q.3, on univocity and genus; I d.8 p.1 q.4, on simplicity and formally distinct divine perfections;</w:t>
      </w:r>
      <w:r>
        <w:t xml:space="preserve"> </w:t>
      </w:r>
      <w:r>
        <w:rPr>
          <w:i/>
          <w:iCs/>
        </w:rPr>
        <w:t xml:space="preserve">Lectura</w:t>
      </w:r>
      <w:r>
        <w:t xml:space="preserve"> </w:t>
      </w:r>
      <w:r>
        <w:t xml:space="preserve">I d.39 qq.1–5, on divine foreknowledge and contingency. Use the critical Vatican editions for the</w:t>
      </w:r>
      <w:r>
        <w:t xml:space="preserve"> </w:t>
      </w:r>
      <w:r>
        <w:rPr>
          <w:i/>
          <w:iCs/>
        </w:rPr>
        <w:t xml:space="preserve">Ordinatio</w:t>
      </w:r>
      <w:r>
        <w:t xml:space="preserve"> </w:t>
      </w:r>
      <w:r>
        <w:t xml:space="preserve">and</w:t>
      </w:r>
      <w:r>
        <w:t xml:space="preserve"> </w:t>
      </w:r>
      <w:r>
        <w:rPr>
          <w:i/>
          <w:iCs/>
        </w:rPr>
        <w:t xml:space="preserve">Lectura</w:t>
      </w:r>
      <w:r>
        <w:t xml:space="preserve">. These loci are specific research leads, not passages verified here.</w:t>
      </w:r>
      <w:r>
        <w:t xml:space="preserve"> </w:t>
      </w:r>
      <w:hyperlink r:id="rId393">
        <w:r>
          <w:rPr>
            <w:rStyle w:val="Hyperlink"/>
          </w:rPr>
          <w:t xml:space="preserve">Stanford’s Scotus article</w:t>
        </w:r>
      </w:hyperlink>
      <w:r>
        <w:t xml:space="preserve"> </w:t>
      </w:r>
      <w:r>
        <w:t xml:space="preserve">is a specialist entry point; it was blocked.</w:t>
      </w:r>
    </w:p>
    <w:p>
      <w:pPr>
        <w:pStyle w:val="BodyText"/>
      </w:pPr>
      <w:r>
        <w:rPr>
          <w:b/>
          <w:bCs/>
        </w:rPr>
        <w:t xml:space="preserve">[S] Verified secondary findings:</w:t>
      </w:r>
      <w:r>
        <w:t xml:space="preserve"> </w:t>
      </w:r>
      <w:r>
        <w:t xml:space="preserve">the archived SEP article identifies</w:t>
      </w:r>
      <w:r>
        <w:t xml:space="preserve"> </w:t>
      </w:r>
      <w:r>
        <w:rPr>
          <w:i/>
          <w:iCs/>
        </w:rPr>
        <w:t xml:space="preserve">Ordinatio</w:t>
      </w:r>
      <w:r>
        <w:t xml:space="preserve"> </w:t>
      </w:r>
      <w:r>
        <w:t xml:space="preserve">I d.3 p.1 qq.1–2 nn.26–55 for univocal predication and describes infinite being as an intrinsic, positive mode. It quotes I d.1 p.1 qq.1–2 n.142 on a thing’s own intrinsic degree of finite or infinite perfection. Its argument explicitly denies that simplicity alone entails infinity. This is an indirect citation; the primary passage remains unconsulted. The article advocates a strong voluntarist interpretation of Scotus and libertarian alternatives at the moment of choice; use it as one interpretation rather than consensus.</w:t>
      </w:r>
    </w:p>
    <w:p>
      <w:pPr>
        <w:pStyle w:val="BodyText"/>
      </w:pPr>
      <w:r>
        <w:rPr>
          <w:b/>
          <w:bCs/>
        </w:rPr>
        <w:t xml:space="preserve">[L] Further interpretive stakes to verify:</w:t>
      </w:r>
      <w:r>
        <w:t xml:space="preserve"> </w:t>
      </w:r>
      <w:r>
        <w:t xml:space="preserve">Scotus’s univocal concept of being need not turn being into a genus, since finite and infinite are intrinsic modes rather than species differentiated by something outside being. Therefore</w:t>
      </w:r>
      <w:r>
        <w:t xml:space="preserve"> </w:t>
      </w:r>
      <w:r>
        <w:t xml:space="preserve">“</w:t>
      </w:r>
      <w:r>
        <w:t xml:space="preserve">no common genus</w:t>
      </w:r>
      <w:r>
        <w:t xml:space="preserve">”</w:t>
      </w:r>
      <w:r>
        <w:t xml:space="preserve"> </w:t>
      </w:r>
      <w:r>
        <w:t xml:space="preserve">does not adjudicate the Aquinas–Scotus disagreement about semantic univocity. Nor should formal nonidentity of divine perfections be treated as partition into independently existing things. A core excluding constituents can remain compatible with a Scotist account; a core denying every intrinsic formal distinction cannot be presented as neutral between the schools.</w:t>
      </w:r>
    </w:p>
    <w:p>
      <w:pPr>
        <w:pStyle w:val="BodyText"/>
      </w:pPr>
      <w:r>
        <w:rPr>
          <w:b/>
          <w:bCs/>
        </w:rPr>
        <w:t xml:space="preserve">[C] Retrieval proposed for testing:</w:t>
      </w:r>
      <w:r>
        <w:t xml:space="preserve"> </w:t>
      </w:r>
      <w:r>
        <w:t xml:space="preserve">distinguish intrinsic actuality, the intended object of an action, and its contingent effect. One act’s relation to multiple objects need not mean a succession of acquired acts; neither does necessity of the act immediately establish necessity of each effect. But calling the effect contingent supplies no explanation unless a model demonstrates how that contingency is consistent with the chosen identity, simplicity, and modality principles. If the same intrinsic act entails one world under every admissible circumstance, the modal-collapse objection remains. Do not harmonize it away by alternating meanings of</w:t>
      </w:r>
      <w:r>
        <w:t xml:space="preserve"> </w:t>
      </w:r>
      <w:r>
        <w:t xml:space="preserve">“</w:t>
      </w:r>
      <w:r>
        <w:t xml:space="preserve">act.</w:t>
      </w:r>
      <w:r>
        <w:t xml:space="preserve">”</w:t>
      </w:r>
    </w:p>
    <w:p>
      <w:pPr>
        <w:pStyle w:val="BodyText"/>
      </w:pPr>
      <w:r>
        <w:rPr>
          <w:b/>
          <w:bCs/>
        </w:rPr>
        <w:t xml:space="preserve">[L] Specialist reading priorities:</w:t>
      </w:r>
      <w:r>
        <w:t xml:space="preserve"> </w:t>
      </w:r>
      <w:r>
        <w:t xml:space="preserve">Richard Cross,</w:t>
      </w:r>
      <w:r>
        <w:t xml:space="preserve"> </w:t>
      </w:r>
      <w:r>
        <w:rPr>
          <w:i/>
          <w:iCs/>
        </w:rPr>
        <w:t xml:space="preserve">Duns Scotus</w:t>
      </w:r>
      <w:r>
        <w:t xml:space="preserve"> </w:t>
      </w:r>
      <w:r>
        <w:t xml:space="preserve">(Oxford University Press, 1999), and</w:t>
      </w:r>
      <w:r>
        <w:t xml:space="preserve"> </w:t>
      </w:r>
      <w:r>
        <w:rPr>
          <w:i/>
          <w:iCs/>
        </w:rPr>
        <w:t xml:space="preserve">Duns Scotus on God</w:t>
      </w:r>
      <w:r>
        <w:t xml:space="preserve"> </w:t>
      </w:r>
      <w:r>
        <w:t xml:space="preserve">(Ashgate, 2005); Thomas Williams, ed.,</w:t>
      </w:r>
      <w:r>
        <w:t xml:space="preserve"> </w:t>
      </w:r>
      <w:r>
        <w:rPr>
          <w:i/>
          <w:iCs/>
        </w:rPr>
        <w:t xml:space="preserve">The Cambridge Companion to Duns Scotus</w:t>
      </w:r>
      <w:r>
        <w:t xml:space="preserve"> </w:t>
      </w:r>
      <w:r>
        <w:t xml:space="preserve">(Cambridge University Press, 2003); Antonie Vos and collaborators,</w:t>
      </w:r>
      <w:r>
        <w:t xml:space="preserve"> </w:t>
      </w:r>
      <w:r>
        <w:rPr>
          <w:i/>
          <w:iCs/>
        </w:rPr>
        <w:t xml:space="preserve">John Duns Scotus: Contingency and Freedom, Lectura I 39</w:t>
      </w:r>
      <w:r>
        <w:t xml:space="preserve"> </w:t>
      </w:r>
      <w:r>
        <w:t xml:space="preserve">(Kluwer, 1994). They are not evidence consulted here, and their interpretations of modal structure must be compared, not merged by fiat.</w:t>
      </w:r>
    </w:p>
    <w:bookmarkEnd w:id="394"/>
    <w:bookmarkStart w:id="396" w:name="X95439db47ad230bf0624c53f9ee9510236e3cf7"/>
    <w:p>
      <w:pPr>
        <w:pStyle w:val="Heading3"/>
      </w:pPr>
      <w:r>
        <w:t xml:space="preserve">3. Przywara: articulate an interval without inventing a metric</w:t>
      </w:r>
    </w:p>
    <w:p>
      <w:pPr>
        <w:pStyle w:val="FirstParagraph"/>
      </w:pPr>
      <w:r>
        <w:rPr>
          <w:b/>
          <w:bCs/>
        </w:rPr>
        <w:t xml:space="preserve">[L] Primary source:</w:t>
      </w:r>
      <w:r>
        <w:t xml:space="preserve"> </w:t>
      </w:r>
      <w:r>
        <w:rPr>
          <w:i/>
          <w:iCs/>
        </w:rPr>
        <w:t xml:space="preserve">Analogia Entis: Metaphysics—Original Structure and Universal Rhythm</w:t>
      </w:r>
      <w:r>
        <w:t xml:space="preserve">, trans. John R. Betz and David Bentley Hart (Eerdmans, 2014), especially its original-structure and creaturely-rhythm analyses;</w:t>
      </w:r>
      <w:r>
        <w:t xml:space="preserve"> </w:t>
      </w:r>
      <w:hyperlink r:id="rId395">
        <w:r>
          <w:rPr>
            <w:rStyle w:val="Hyperlink"/>
          </w:rPr>
          <w:t xml:space="preserve">publisher record</w:t>
        </w:r>
      </w:hyperlink>
      <w:r>
        <w:t xml:space="preserve"> </w:t>
      </w:r>
      <w:r>
        <w:t xml:space="preserve">was blocked. Betz’s introductory historical and philosophical study in that edition is a specialist guide, not the only permissible interpretation.</w:t>
      </w:r>
    </w:p>
    <w:p>
      <w:pPr>
        <w:pStyle w:val="BodyText"/>
      </w:pPr>
      <w:r>
        <w:rPr>
          <w:b/>
          <w:bCs/>
        </w:rPr>
        <w:t xml:space="preserve">[C] Structural use, pending textual comparison:</w:t>
      </w:r>
      <w:r>
        <w:t xml:space="preserve"> </w:t>
      </w:r>
      <w:r>
        <w:t xml:space="preserve">creaturely likeness is inseparable from an irreducible difference of mode; greater dissimilarity guards against converting divine excess into a magnified creature.</w:t>
      </w:r>
      <w:r>
        <w:t xml:space="preserve"> </w:t>
      </w:r>
      <w:r>
        <w:t xml:space="preserve">“</w:t>
      </w:r>
      <w:r>
        <w:t xml:space="preserve">Greater</w:t>
      </w:r>
      <w:r>
        <w:t xml:space="preserve">”</w:t>
      </w:r>
      <w:r>
        <w:t xml:space="preserve"> </w:t>
      </w:r>
      <w:r>
        <w:t xml:space="preserve">here must not become a numerical comparison between two quantities without an independently supplied metric. Neither does it mean that similarities are false. Przywara can provide disciplined constraints on the articulation of already-established dependence and analogy. To</w:t>
      </w:r>
      <w:r>
        <w:t xml:space="preserve"> </w:t>
      </w:r>
      <w:r>
        <w:rPr>
          <w:i/>
          <w:iCs/>
        </w:rPr>
        <w:t xml:space="preserve">generate</w:t>
      </w:r>
      <w:r>
        <w:t xml:space="preserve"> </w:t>
      </w:r>
      <w:r>
        <w:t xml:space="preserve">the grammar, the reconstruction must still show why causal dependence entails manifestation under its explicit adequacy principle. A slogan about polarity supplies no missing bridge.</w:t>
      </w:r>
    </w:p>
    <w:p>
      <w:pPr>
        <w:pStyle w:val="BodyText"/>
      </w:pPr>
      <w:r>
        <w:rPr>
          <w:b/>
          <w:bCs/>
        </w:rPr>
        <w:t xml:space="preserve">[C] A good synthetic retrieval leaves open:</w:t>
      </w:r>
      <w:r>
        <w:t xml:space="preserve"> </w:t>
      </w:r>
      <w:r>
        <w:t xml:space="preserve">Aquinas versus Scotus on predication; accounts of divine formal distinctions; and traditions’ differing explanations of creaturely-divine presence. The interval is genuinely ontological distinction, not an extra spatial object wedged between God and creatures.</w:t>
      </w:r>
    </w:p>
    <w:bookmarkEnd w:id="396"/>
    <w:bookmarkStart w:id="397" w:name="Xa960863d418569cd8be66ee92ffe6fe919f48b5"/>
    <w:p>
      <w:pPr>
        <w:pStyle w:val="Heading3"/>
      </w:pPr>
      <w:r>
        <w:t xml:space="preserve">4. Newman: a provisional development test, not retrospective attribution</w:t>
      </w:r>
    </w:p>
    <w:p>
      <w:pPr>
        <w:pStyle w:val="FirstParagraph"/>
      </w:pPr>
      <w:r>
        <w:rPr>
          <w:b/>
          <w:bCs/>
        </w:rPr>
        <w:t xml:space="preserve">[T] Chapter V’s seven notes are:</w:t>
      </w:r>
      <w:r>
        <w:t xml:space="preserve"> </w:t>
      </w:r>
      <w:r>
        <w:t xml:space="preserve">preservation of type (§I), continuity of principles (§II), power of assimilation (§III), logical sequence (§IV), anticipation of its future (§V), conservative action upon its past (§VI), and chronic vigour (§VII). The opening §4 calls them notes</w:t>
      </w:r>
      <w:r>
        <w:t xml:space="preserve"> </w:t>
      </w:r>
      <w:r>
        <w:t xml:space="preserve">“</w:t>
      </w:r>
      <w:r>
        <w:t xml:space="preserve">of varying cogency, independence and applicability.</w:t>
      </w:r>
      <w:r>
        <w:t xml:space="preserve">”</w:t>
      </w:r>
      <w:r>
        <w:t xml:space="preserve"> </w:t>
      </w:r>
      <w:r>
        <w:t xml:space="preserve">§IV explicitly distinguishes conscious deduction from developments that first arise through reflection and are later organized logically. §VI says development should illustrate rather than disturb prior achievements. These are historical-discriminatory notes, not an axiomatic completeness theorem.</w:t>
      </w:r>
    </w:p>
    <w:p>
      <w:pPr>
        <w:pStyle w:val="BodyText"/>
      </w:pPr>
      <w:r>
        <w:rPr>
          <w:b/>
          <w:bCs/>
        </w:rPr>
        <w:t xml:space="preserve">[C] Analogical assessment for this project:</w:t>
      </w:r>
      <w:r>
        <w:t xml:space="preserve"> </w:t>
      </w:r>
      <w:r>
        <w:t xml:space="preserve">preserve the Creator–creature distinction and real created goodness; conserve non-dependence and non-acquisition; assimilate divine-ideas and recipient-mode insights without making the ideas external gods; display an explicit inferential sequence; identify antecedents without ascribing the synthesis to them; retain earlier explanatory achievements while recording disagreements. Deletion models, category checks, and modal consistency checks are new procedures that can serve the logical-sequence and conservation aims.</w:t>
      </w:r>
    </w:p>
    <w:p>
      <w:pPr>
        <w:pStyle w:val="BodyText"/>
      </w:pPr>
      <w:r>
        <w:t xml:space="preserve">A new project cannot already demonstrate Newman’s seventh note of chronic vigour. Present explanatory fruitfulness and successful stress tests as a provisional analogue, not as demonstrated historical endurance. The user is adopting Newman analogically; passing the assessment would neither prove all premises nor confer ecclesial authority on the resulting theory. Genuine tensions cannot be harmonized by calling their reversal a development.</w:t>
      </w:r>
    </w:p>
    <w:bookmarkEnd w:id="397"/>
    <w:bookmarkStart w:id="398" w:name="X4808a4e767f30ad7332d1fbcce9c939eb49bbcf"/>
    <w:p>
      <w:pPr>
        <w:pStyle w:val="Heading3"/>
      </w:pPr>
      <w:r>
        <w:t xml:space="preserve">5. Minimality decisions these witnesses support</w:t>
      </w:r>
    </w:p>
    <w:p>
      <w:pPr>
        <w:pStyle w:val="FirstParagraph"/>
      </w:pPr>
      <w:r>
        <w:rPr>
          <w:b/>
          <w:bCs/>
        </w:rPr>
        <w:t xml:space="preserve">[C] Recommend a layered basis:</w:t>
      </w:r>
      <w:r>
        <w:t xml:space="preserve"> </w:t>
      </w:r>
      <w:r>
        <w:t xml:space="preserve">explanatory dependence distinct from identity; a separate positive-character/perfection language; causal-adequacy bridge; distinction between intrinsic constitution and relational denomination; a finite/limited-mode predicate whose semantics are independently constrained. Then add explicitly divine axioms for universal sustaining source, non-constitution and non-acquisition, infinitude, and the relevant simplicity. Add free intentional communication only when deriving contingent creation; add efficacy of secondary causes when excluding occasionalism.</w:t>
      </w:r>
    </w:p>
    <w:p>
      <w:pPr>
        <w:pStyle w:val="BodyText"/>
      </w:pPr>
      <w:r>
        <w:t xml:space="preserve">Actuality can be the actual-world quantifier’s domain restriction instead of a primitive predicate, but that saves typography rather than explaining actuality. Reception can be defined as actual possession through explanatory production; it should not mean a pre-existing empty receiver subsequently filled, since creation includes the receiver. Participation can be defined as that derivative possession with warranted causal likeness. Non-exhaustion should be derived from finite reception plus a genuinely unlimited source, not built into reception. Mere irreflexive dependence does not forbid a cause being a constituent of its effect. Absence of a common genus must be established separately from mere nonidentity.</w:t>
      </w:r>
    </w:p>
    <w:p>
      <w:pPr>
        <w:pStyle w:val="BodyText"/>
      </w:pPr>
      <w:r>
        <w:t xml:space="preserve">The explanatory stopping point is thus not an innocent three-word formula. Each proposed compression must preserve these distinctions or disclose which metaphysical axiom has been folded into its relation’s semantics.</w:t>
      </w:r>
    </w:p>
    <w:p>
      <w:pPr>
        <w:pStyle w:val="BodyText"/>
      </w:pPr>
      <w:r>
        <w:rPr>
          <w:b/>
          <w:bCs/>
        </w:rPr>
        <w:t xml:space="preserve">[L] Aquinas specialist priorities, not consulted:</w:t>
      </w:r>
      <w:r>
        <w:t xml:space="preserve"> </w:t>
      </w:r>
      <w:r>
        <w:t xml:space="preserve">Rudi A. te Velde,</w:t>
      </w:r>
      <w:r>
        <w:t xml:space="preserve"> </w:t>
      </w:r>
      <w:r>
        <w:rPr>
          <w:i/>
          <w:iCs/>
        </w:rPr>
        <w:t xml:space="preserve">Participation and Substantiality in Thomas Aquinas</w:t>
      </w:r>
      <w:r>
        <w:t xml:space="preserve"> </w:t>
      </w:r>
      <w:r>
        <w:t xml:space="preserve">(Brill, 1995); John F. Wippel,</w:t>
      </w:r>
      <w:r>
        <w:t xml:space="preserve"> </w:t>
      </w:r>
      <w:r>
        <w:rPr>
          <w:i/>
          <w:iCs/>
        </w:rPr>
        <w:t xml:space="preserve">The Metaphysical Thought of Thomas Aquinas</w:t>
      </w:r>
      <w:r>
        <w:t xml:space="preserve"> </w:t>
      </w:r>
      <w:r>
        <w:t xml:space="preserve">(Catholic University of America Press, 2000); Fran O’Rourke,</w:t>
      </w:r>
      <w:r>
        <w:t xml:space="preserve"> </w:t>
      </w:r>
      <w:r>
        <w:rPr>
          <w:i/>
          <w:iCs/>
        </w:rPr>
        <w:t xml:space="preserve">Pseudo-Dionysius and the Metaphysics of Aquinas</w:t>
      </w:r>
      <w:r>
        <w:t xml:space="preserve"> </w:t>
      </w:r>
      <w:r>
        <w:t xml:space="preserve">(Brill, 1992; later Notre Dame edition); Gregory P. Rocca,</w:t>
      </w:r>
      <w:r>
        <w:t xml:space="preserve"> </w:t>
      </w:r>
      <w:r>
        <w:rPr>
          <w:i/>
          <w:iCs/>
        </w:rPr>
        <w:t xml:space="preserve">Speaking the Incomprehensible God</w:t>
      </w:r>
      <w:r>
        <w:t xml:space="preserve"> </w:t>
      </w:r>
      <w:r>
        <w:t xml:space="preserve">(Catholic University of America Press, 2004). Te Velde/Wippel can challenge reductions of participation to a mere external relation; O’Rourke can test Dionysian continuity; Rocca can separate causal naming from predicative equivalence. These are questions for those works, not findings attributed to unread pages.</w:t>
      </w:r>
    </w:p>
    <w:bookmarkEnd w:id="398"/>
    <w:bookmarkEnd w:id="399"/>
    <w:p>
      <w:pPr>
        <w:pStyle w:val="Heading1"/>
      </w:pPr>
      <w:r>
        <w:t xml:space="preserve">Appendix G — reading-guide.md</w:t>
      </w:r>
    </w:p>
    <w:p>
      <w:pPr>
        <w:pStyle w:val="FirstParagraph"/>
      </w:pPr>
      <w:r>
        <w:t xml:space="preserve">Original research file: https:/​/​participation-​6o4.​pages.​dev/​research/​reading-​guide.​md</w:t>
      </w:r>
    </w:p>
    <w:bookmarkStart w:id="406" w:name="X76bbf5d6b7569961a0062f67039635a63138a29"/>
    <w:p>
      <w:pPr>
        <w:pStyle w:val="Heading2"/>
      </w:pPr>
      <w:r>
        <w:t xml:space="preserve">Reading the three investigations together</w:t>
      </w:r>
    </w:p>
    <w:p>
      <w:pPr>
        <w:pStyle w:val="FirstParagraph"/>
      </w:pPr>
      <w:r>
        <w:t xml:space="preserve">Revision: October 14, 2026.</w:t>
      </w:r>
    </w:p>
    <w:p>
      <w:pPr>
        <w:pStyle w:val="BodyText"/>
      </w:pPr>
      <w:r>
        <w:t xml:space="preserve">The three pages investigate a single problem in stages. How can created actuality come from God and genuinely belong to the creature? What further principles would establish simplicity, free creation, and non-receptive knowledge? How could that freedom have determinate intentional content while sustaining real creaturely action and fulfillment?</w:t>
      </w:r>
    </w:p>
    <w:p>
      <w:pPr>
        <w:pStyle w:val="BodyText"/>
      </w:pPr>
      <w:r>
        <w:t xml:space="preserve">The revision draws on the supplied</w:t>
      </w:r>
      <w:r>
        <w:t xml:space="preserve"> </w:t>
      </w:r>
      <w:r>
        <w:rPr>
          <w:i/>
          <w:iCs/>
        </w:rPr>
        <w:t xml:space="preserve">Being-First and Measured Manifestation: Definitive Synthetic Edition</w:t>
      </w:r>
      <w:r>
        <w:t xml:space="preserve"> </w:t>
      </w:r>
      <w:r>
        <w:t xml:space="preserve">and</w:t>
      </w:r>
      <w:r>
        <w:t xml:space="preserve"> </w:t>
      </w:r>
      <w:r>
        <w:rPr>
          <w:i/>
          <w:iCs/>
        </w:rPr>
        <w:t xml:space="preserve">Working Philosophical Toolkit: Final</w:t>
      </w:r>
      <w:r>
        <w:t xml:space="preserve">. These are constructive source manuscripts for this project. Using them does not convert their proposals into historical testimony or independently established metaphysical theorems. The existing source ledgers retain their consultation and edition qualifications.</w:t>
      </w:r>
    </w:p>
    <w:bookmarkStart w:id="400" w:name="five-recurring-questions"/>
    <w:p>
      <w:pPr>
        <w:pStyle w:val="Heading3"/>
      </w:pPr>
      <w:r>
        <w:t xml:space="preserve">Five recurring questions</w:t>
      </w:r>
    </w:p>
    <w:p>
      <w:pPr>
        <w:pStyle w:val="Compact"/>
        <w:numPr>
          <w:ilvl w:val="0"/>
          <w:numId w:val="1015"/>
        </w:numPr>
      </w:pPr>
      <w:r>
        <w:rPr>
          <w:b/>
          <w:bCs/>
        </w:rPr>
        <w:t xml:space="preserve">Reality:</w:t>
      </w:r>
      <w:r>
        <w:t xml:space="preserve"> </w:t>
      </w:r>
      <w:r>
        <w:t xml:space="preserve">What differs, what realizes that difference, and what makes the subject one?</w:t>
      </w:r>
    </w:p>
    <w:p>
      <w:pPr>
        <w:pStyle w:val="Compact"/>
        <w:numPr>
          <w:ilvl w:val="0"/>
          <w:numId w:val="1015"/>
        </w:numPr>
      </w:pPr>
      <w:r>
        <w:rPr>
          <w:b/>
          <w:bCs/>
        </w:rPr>
        <w:t xml:space="preserve">Explanation:</w:t>
      </w:r>
      <w:r>
        <w:t xml:space="preserve"> </w:t>
      </w:r>
      <w:r>
        <w:t xml:space="preserve">What explains what, through which relation and in which respect?</w:t>
      </w:r>
    </w:p>
    <w:p>
      <w:pPr>
        <w:pStyle w:val="Compact"/>
        <w:numPr>
          <w:ilvl w:val="0"/>
          <w:numId w:val="1015"/>
        </w:numPr>
      </w:pPr>
      <w:r>
        <w:rPr>
          <w:b/>
          <w:bCs/>
        </w:rPr>
        <w:t xml:space="preserve">Possibility and agency:</w:t>
      </w:r>
      <w:r>
        <w:t xml:space="preserve"> </w:t>
      </w:r>
      <w:r>
        <w:t xml:space="preserve">What could genuinely differ, what makes alternatives fitting, and who directs the actual action?</w:t>
      </w:r>
    </w:p>
    <w:p>
      <w:pPr>
        <w:pStyle w:val="Compact"/>
        <w:numPr>
          <w:ilvl w:val="0"/>
          <w:numId w:val="1015"/>
        </w:numPr>
      </w:pPr>
      <w:r>
        <w:rPr>
          <w:b/>
          <w:bCs/>
        </w:rPr>
        <w:t xml:space="preserve">Disclosure:</w:t>
      </w:r>
      <w:r>
        <w:t xml:space="preserve"> </w:t>
      </w:r>
      <w:r>
        <w:t xml:space="preserve">What is expressed, what warrants knowledge of it, and how far does that warrant extend?</w:t>
      </w:r>
    </w:p>
    <w:p>
      <w:pPr>
        <w:pStyle w:val="Compact"/>
        <w:numPr>
          <w:ilvl w:val="0"/>
          <w:numId w:val="1015"/>
        </w:numPr>
      </w:pPr>
      <w:r>
        <w:rPr>
          <w:b/>
          <w:bCs/>
        </w:rPr>
        <w:t xml:space="preserve">Fulfillment:</w:t>
      </w:r>
      <w:r>
        <w:t xml:space="preserve"> </w:t>
      </w:r>
      <w:r>
        <w:t xml:space="preserve">What good is appropriate to the subject, what impedes it, and what would perfect it?</w:t>
      </w:r>
    </w:p>
    <w:p>
      <w:pPr>
        <w:pStyle w:val="FirstParagraph"/>
      </w:pPr>
      <w:r>
        <w:t xml:space="preserve">These are useful analytical jobs, not five demonstrated ontological primitives. The five families of symbols in Part I have a different purpose: they retain information needed by one conditional formal reconstruction. Sharing the number five establishes no identity between the toolkit and that model.</w:t>
      </w:r>
    </w:p>
    <w:p>
      <w:pPr>
        <w:pStyle w:val="BodyText"/>
      </w:pPr>
      <w:r>
        <w:t xml:space="preserve">Keep the relation, respect, modal force, and warrant explicit. Causation, constitution, dependence, truthmaking, cognitive access, and intentional direction are different explanatory relations unless an argument establishes their reduction.</w:t>
      </w:r>
    </w:p>
    <w:bookmarkEnd w:id="400"/>
    <w:bookmarkStart w:id="401" w:name="participation-connects-the-questions"/>
    <w:p>
      <w:pPr>
        <w:pStyle w:val="Heading3"/>
      </w:pPr>
      <w:r>
        <w:t xml:space="preserve">Participation connects the questions</w:t>
      </w:r>
    </w:p>
    <w:p>
      <w:pPr>
        <w:pStyle w:val="FirstParagraph"/>
      </w:pPr>
      <w:r>
        <w:t xml:space="preserve">Participation is real, dependent possession of received actuality or perfection according to the participant’s mode. Identify the recipient, what it possesses, its source, its mode, and the dependence. Receiving actuality does not turn the recipient into an appearance. Genuine possession does not make it independent.</w:t>
      </w:r>
    </w:p>
    <w:p>
      <w:pPr>
        <w:pStyle w:val="BodyText"/>
      </w:pPr>
      <w:r>
        <w:t xml:space="preserve">Expression, agency, and finality require additional bridges. A received power can remain unexercised. An actual likeness can remain unrecognized. A subject’s origin does not by itself establish its fitting end. The added principles explain how participation can become productive action, warranted disclosure, and fulfillment without building those conclusions into its definition.</w:t>
      </w:r>
    </w:p>
    <w:bookmarkEnd w:id="401"/>
    <w:bookmarkStart w:id="402" w:name="the-major-passages-and-their-burdens"/>
    <w:p>
      <w:pPr>
        <w:pStyle w:val="Heading3"/>
      </w:pPr>
      <w:r>
        <w:t xml:space="preserve">The major passages and their burdens</w:t>
      </w:r>
    </w:p>
    <w:tbl>
      <w:tblPr>
        <w:tblStyle w:val="TableGrid"/>
        <w:tblW w:type="dxa" w:w="9936"/>
        <w:jc w:val="left"/>
        <w:tblLayout w:type="fixed"/>
        <w:tblLook w:firstRow="1" w:lastRow="0" w:firstColumn="0" w:lastColumn="0" w:noHBand="0" w:noVBand="0" w:val="0020"/>
      </w:tblPr>
      <w:tblGrid>
        <w:gridCol w:w="1689"/>
        <w:gridCol w:w="2749"/>
        <w:gridCol w:w="2749"/>
        <w:gridCol w:w="2749"/>
      </w:tblGrid>
      <w:tr>
        <w:trPr>
          <w:tblHeader w:val="true"/>
        </w:trPr>
        <w:tc>
          <w:tcPr>
            <w:tcW w:type="dxa" w:w="1689"/>
            <w:shd w:fill="EAE5DA"/>
          </w:tcPr>
          <w:p>
            <w:pPr>
              <w:pStyle w:val="BodyText"/>
              <w:keepNext w:val="0"/>
              <w:spacing w:after="80" w:line="252" w:lineRule="auto"/>
              <w:jc w:val="left"/>
            </w:pPr>
            <w:r>
              <w:rPr>
                <w:rFonts w:ascii="Calibri" w:hAnsi="Calibri"/>
                <w:b/>
                <w:sz w:val="17"/>
              </w:rPr>
              <w:t xml:space="preserve">Passage</w:t>
            </w:r>
          </w:p>
        </w:tc>
        <w:tc>
          <w:tcPr>
            <w:tcW w:type="dxa" w:w="2749"/>
            <w:shd w:fill="EAE5DA"/>
          </w:tcPr>
          <w:p>
            <w:pPr>
              <w:pStyle w:val="BodyText"/>
              <w:keepNext w:val="0"/>
              <w:spacing w:after="80" w:line="252" w:lineRule="auto"/>
              <w:jc w:val="left"/>
            </w:pPr>
            <w:r>
              <w:rPr>
                <w:rFonts w:ascii="Calibri" w:hAnsi="Calibri"/>
                <w:b/>
                <w:sz w:val="17"/>
              </w:rPr>
              <w:t xml:space="preserve">Positive explanation</w:t>
            </w:r>
          </w:p>
        </w:tc>
        <w:tc>
          <w:tcPr>
            <w:tcW w:type="dxa" w:w="2749"/>
            <w:shd w:fill="EAE5DA"/>
          </w:tcPr>
          <w:p>
            <w:pPr>
              <w:pStyle w:val="BodyText"/>
              <w:keepNext w:val="0"/>
              <w:spacing w:after="80" w:line="252" w:lineRule="auto"/>
              <w:jc w:val="left"/>
            </w:pPr>
            <w:r>
              <w:rPr>
                <w:rFonts w:ascii="Calibri" w:hAnsi="Calibri"/>
                <w:b/>
                <w:sz w:val="17"/>
              </w:rPr>
              <w:t xml:space="preserve">Indispensable addition</w:t>
            </w:r>
          </w:p>
        </w:tc>
        <w:tc>
          <w:tcPr>
            <w:tcW w:type="dxa" w:w="2749"/>
            <w:shd w:fill="EAE5DA"/>
          </w:tcPr>
          <w:p>
            <w:pPr>
              <w:pStyle w:val="BodyText"/>
              <w:keepNext w:val="0"/>
              <w:spacing w:after="80" w:line="252" w:lineRule="auto"/>
              <w:jc w:val="left"/>
            </w:pPr>
            <w:r>
              <w:rPr>
                <w:rFonts w:ascii="Calibri" w:hAnsi="Calibri"/>
                <w:b/>
                <w:sz w:val="17"/>
              </w:rPr>
              <w:t xml:space="preserve">Strong rival or remaining burden</w:t>
            </w:r>
          </w:p>
        </w:tc>
      </w:tr>
      <w:tr>
        <w:tc>
          <w:tcPr>
            <w:tcW w:type="dxa" w:w="1689"/>
          </w:tcPr>
          <w:p>
            <w:pPr>
              <w:pStyle w:val="BodyText"/>
              <w:keepNext w:val="0"/>
              <w:spacing w:after="80" w:line="252" w:lineRule="auto"/>
              <w:jc w:val="left"/>
            </w:pPr>
            <w:r>
              <w:rPr>
                <w:rFonts w:ascii="Calibri" w:hAnsi="Calibri"/>
                <w:sz w:val="17"/>
              </w:rPr>
              <w:t xml:space="preserve">Received actuality → creaturely possession</w:t>
            </w:r>
          </w:p>
        </w:tc>
        <w:tc>
          <w:tcPr>
            <w:tcW w:type="dxa" w:w="2749"/>
          </w:tcPr>
          <w:p>
            <w:pPr>
              <w:pStyle w:val="BodyText"/>
              <w:keepNext w:val="0"/>
              <w:spacing w:after="80" w:line="252" w:lineRule="auto"/>
              <w:jc w:val="left"/>
            </w:pPr>
            <w:r>
              <w:rPr>
                <w:rFonts w:ascii="Calibri" w:hAnsi="Calibri"/>
                <w:sz w:val="17"/>
              </w:rPr>
              <w:t xml:space="preserve">The perfection is actual in the recipient; dependence concerns its source.</w:t>
            </w:r>
          </w:p>
        </w:tc>
        <w:tc>
          <w:tcPr>
            <w:tcW w:type="dxa" w:w="2749"/>
          </w:tcPr>
          <w:p>
            <w:pPr>
              <w:pStyle w:val="BodyText"/>
              <w:keepNext w:val="0"/>
              <w:spacing w:after="80" w:line="252" w:lineRule="auto"/>
              <w:jc w:val="left"/>
            </w:pPr>
            <w:r>
              <w:rPr>
                <w:rFonts w:ascii="Calibri" w:hAnsi="Calibri"/>
                <w:sz w:val="17"/>
              </w:rPr>
              <w:t xml:space="preserve">A realist account of realization and the stated causal-dependence bridge.</w:t>
            </w:r>
          </w:p>
        </w:tc>
        <w:tc>
          <w:tcPr>
            <w:tcW w:type="dxa" w:w="2749"/>
          </w:tcPr>
          <w:p>
            <w:pPr>
              <w:pStyle w:val="BodyText"/>
              <w:keepNext w:val="0"/>
              <w:spacing w:after="80" w:line="252" w:lineRule="auto"/>
              <w:jc w:val="left"/>
            </w:pPr>
            <w:r>
              <w:rPr>
                <w:rFonts w:ascii="Calibri" w:hAnsi="Calibri"/>
                <w:sz w:val="17"/>
              </w:rPr>
              <w:t xml:space="preserve">An ontology in which creatures are merely appearances rather than distinct bearers.</w:t>
            </w:r>
          </w:p>
        </w:tc>
      </w:tr>
      <w:tr>
        <w:tc>
          <w:tcPr>
            <w:tcW w:type="dxa" w:w="1689"/>
          </w:tcPr>
          <w:p>
            <w:pPr>
              <w:pStyle w:val="BodyText"/>
              <w:keepNext w:val="0"/>
              <w:spacing w:after="80" w:line="252" w:lineRule="auto"/>
              <w:jc w:val="left"/>
            </w:pPr>
            <w:r>
              <w:rPr>
                <w:rFonts w:ascii="Calibri" w:hAnsi="Calibri"/>
                <w:sz w:val="17"/>
              </w:rPr>
              <w:t xml:space="preserve">Causation → expressive likeness</w:t>
            </w:r>
          </w:p>
        </w:tc>
        <w:tc>
          <w:tcPr>
            <w:tcW w:type="dxa" w:w="2749"/>
          </w:tcPr>
          <w:p>
            <w:pPr>
              <w:pStyle w:val="BodyText"/>
              <w:keepNext w:val="0"/>
              <w:spacing w:after="80" w:line="252" w:lineRule="auto"/>
              <w:jc w:val="left"/>
            </w:pPr>
            <w:r>
              <w:rPr>
                <w:rFonts w:ascii="Calibri" w:hAnsi="Calibri"/>
                <w:sz w:val="17"/>
              </w:rPr>
              <w:t xml:space="preserve">The effect’s intelligible formation corresponds to positive content in its ultimate source.</w:t>
            </w:r>
          </w:p>
        </w:tc>
        <w:tc>
          <w:tcPr>
            <w:tcW w:type="dxa" w:w="2749"/>
          </w:tcPr>
          <w:p>
            <w:pPr>
              <w:pStyle w:val="BodyText"/>
              <w:keepNext w:val="0"/>
              <w:spacing w:after="80" w:line="252" w:lineRule="auto"/>
              <w:jc w:val="left"/>
            </w:pPr>
            <w:r>
              <w:rPr>
                <w:rFonts w:ascii="Calibri" w:hAnsi="Calibri"/>
                <w:sz w:val="17"/>
              </w:rPr>
              <w:t xml:space="preserve">Causal adequacy for independently identified perfection-content; exemplarism offers a richer account.</w:t>
            </w:r>
          </w:p>
        </w:tc>
        <w:tc>
          <w:tcPr>
            <w:tcW w:type="dxa" w:w="2749"/>
          </w:tcPr>
          <w:p>
            <w:pPr>
              <w:pStyle w:val="BodyText"/>
              <w:keepNext w:val="0"/>
              <w:spacing w:after="80" w:line="252" w:lineRule="auto"/>
              <w:jc w:val="left"/>
            </w:pPr>
            <w:r>
              <w:rPr>
                <w:rFonts w:ascii="Calibri" w:hAnsi="Calibri"/>
                <w:sz w:val="17"/>
              </w:rPr>
              <w:t xml:space="preserve">A productive source that causes cognition without intrinsically understanding.</w:t>
            </w:r>
          </w:p>
        </w:tc>
      </w:tr>
      <w:tr>
        <w:tc>
          <w:tcPr>
            <w:tcW w:type="dxa" w:w="1689"/>
          </w:tcPr>
          <w:p>
            <w:pPr>
              <w:pStyle w:val="BodyText"/>
              <w:keepNext w:val="0"/>
              <w:spacing w:after="80" w:line="252" w:lineRule="auto"/>
              <w:jc w:val="left"/>
            </w:pPr>
            <w:r>
              <w:rPr>
                <w:rFonts w:ascii="Calibri" w:hAnsi="Calibri"/>
                <w:sz w:val="17"/>
              </w:rPr>
              <w:t xml:space="preserve">Underivation → noncomposition</w:t>
            </w:r>
          </w:p>
        </w:tc>
        <w:tc>
          <w:tcPr>
            <w:tcW w:type="dxa" w:w="2749"/>
          </w:tcPr>
          <w:p>
            <w:pPr>
              <w:pStyle w:val="BodyText"/>
              <w:keepNext w:val="0"/>
              <w:spacing w:after="80" w:line="252" w:lineRule="auto"/>
              <w:jc w:val="left"/>
            </w:pPr>
            <w:r>
              <w:rPr>
                <w:rFonts w:ascii="Calibri" w:hAnsi="Calibri"/>
                <w:sz w:val="17"/>
              </w:rPr>
              <w:t xml:space="preserve">A whole cannot be absolutely underived if its constituents explain the actuality of that whole.</w:t>
            </w:r>
          </w:p>
        </w:tc>
        <w:tc>
          <w:tcPr>
            <w:tcW w:type="dxa" w:w="2749"/>
          </w:tcPr>
          <w:p>
            <w:pPr>
              <w:pStyle w:val="BodyText"/>
              <w:keepNext w:val="0"/>
              <w:spacing w:after="80" w:line="252" w:lineRule="auto"/>
              <w:jc w:val="left"/>
            </w:pPr>
            <w:r>
              <w:rPr>
                <w:rFonts w:ascii="Calibri" w:hAnsi="Calibri"/>
                <w:sz w:val="17"/>
              </w:rPr>
              <w:t xml:space="preserve">The independently interpreted constitution–dependence principle.</w:t>
            </w:r>
          </w:p>
        </w:tc>
        <w:tc>
          <w:tcPr>
            <w:tcW w:type="dxa" w:w="2749"/>
          </w:tcPr>
          <w:p>
            <w:pPr>
              <w:pStyle w:val="BodyText"/>
              <w:keepNext w:val="0"/>
              <w:spacing w:after="80" w:line="252" w:lineRule="auto"/>
              <w:jc w:val="left"/>
            </w:pPr>
            <w:r>
              <w:rPr>
                <w:rFonts w:ascii="Calibri" w:hAnsi="Calibri"/>
                <w:sz w:val="17"/>
              </w:rPr>
              <w:t xml:space="preserve">Brute composite unity, or a whole-priority ontology denying that proper constituents ground the whole’s actuality.</w:t>
            </w:r>
          </w:p>
        </w:tc>
      </w:tr>
      <w:tr>
        <w:tc>
          <w:tcPr>
            <w:tcW w:type="dxa" w:w="1689"/>
          </w:tcPr>
          <w:p>
            <w:pPr>
              <w:pStyle w:val="BodyText"/>
              <w:keepNext w:val="0"/>
              <w:spacing w:after="80" w:line="252" w:lineRule="auto"/>
              <w:jc w:val="left"/>
            </w:pPr>
            <w:r>
              <w:rPr>
                <w:rFonts w:ascii="Calibri" w:hAnsi="Calibri"/>
                <w:sz w:val="17"/>
              </w:rPr>
              <w:t xml:space="preserve">Negative simplicity exclusions → positive plenitude</w:t>
            </w:r>
          </w:p>
        </w:tc>
        <w:tc>
          <w:tcPr>
            <w:tcW w:type="dxa" w:w="2749"/>
          </w:tcPr>
          <w:p>
            <w:pPr>
              <w:pStyle w:val="BodyText"/>
              <w:keepNext w:val="0"/>
              <w:spacing w:after="80" w:line="252" w:lineRule="auto"/>
              <w:jc w:val="left"/>
            </w:pPr>
            <w:r>
              <w:rPr>
                <w:rFonts w:ascii="Calibri" w:hAnsi="Calibri"/>
                <w:sz w:val="17"/>
              </w:rPr>
              <w:t xml:space="preserve">An independently warranted perfection belongs without reception from a more basic actualizer.</w:t>
            </w:r>
          </w:p>
        </w:tc>
        <w:tc>
          <w:tcPr>
            <w:tcW w:type="dxa" w:w="2749"/>
          </w:tcPr>
          <w:p>
            <w:pPr>
              <w:pStyle w:val="BodyText"/>
              <w:keepNext w:val="0"/>
              <w:spacing w:after="80" w:line="252" w:lineRule="auto"/>
              <w:jc w:val="left"/>
            </w:pPr>
            <w:r>
              <w:rPr>
                <w:rFonts w:ascii="Calibri" w:hAnsi="Calibri"/>
                <w:sz w:val="17"/>
              </w:rPr>
              <w:t xml:space="preserve">Arguments establishing the positive perfections themselves.</w:t>
            </w:r>
          </w:p>
        </w:tc>
        <w:tc>
          <w:tcPr>
            <w:tcW w:type="dxa" w:w="2749"/>
          </w:tcPr>
          <w:p>
            <w:pPr>
              <w:pStyle w:val="BodyText"/>
              <w:keepNext w:val="0"/>
              <w:spacing w:after="80" w:line="252" w:lineRule="auto"/>
              <w:jc w:val="left"/>
            </w:pPr>
            <w:r>
              <w:rPr>
                <w:rFonts w:ascii="Calibri" w:hAnsi="Calibri"/>
                <w:sz w:val="17"/>
              </w:rPr>
              <w:t xml:space="preserve">A noncomposite but insufficiently characterized source.</w:t>
            </w:r>
          </w:p>
        </w:tc>
      </w:tr>
      <w:tr>
        <w:tc>
          <w:tcPr>
            <w:tcW w:type="dxa" w:w="1689"/>
          </w:tcPr>
          <w:p>
            <w:pPr>
              <w:pStyle w:val="BodyText"/>
              <w:keepNext w:val="0"/>
              <w:spacing w:after="80" w:line="252" w:lineRule="auto"/>
              <w:jc w:val="left"/>
            </w:pPr>
            <w:r>
              <w:rPr>
                <w:rFonts w:ascii="Calibri" w:hAnsi="Calibri"/>
                <w:sz w:val="17"/>
              </w:rPr>
              <w:t xml:space="preserve">Non-exhaustion → free creation</w:t>
            </w:r>
          </w:p>
        </w:tc>
        <w:tc>
          <w:tcPr>
            <w:tcW w:type="dxa" w:w="2749"/>
          </w:tcPr>
          <w:p>
            <w:pPr>
              <w:pStyle w:val="BodyText"/>
              <w:keepNext w:val="0"/>
              <w:spacing w:after="80" w:line="252" w:lineRule="auto"/>
              <w:jc w:val="left"/>
            </w:pPr>
            <w:r>
              <w:rPr>
                <w:rFonts w:ascii="Calibri" w:hAnsi="Calibri"/>
                <w:sz w:val="17"/>
              </w:rPr>
              <w:t xml:space="preserve">Complete goodness can be expressed without being repaired or completed by expression.</w:t>
            </w:r>
          </w:p>
        </w:tc>
        <w:tc>
          <w:tcPr>
            <w:tcW w:type="dxa" w:w="2749"/>
          </w:tcPr>
          <w:p>
            <w:pPr>
              <w:pStyle w:val="BodyText"/>
              <w:keepNext w:val="0"/>
              <w:spacing w:after="80" w:line="252" w:lineRule="auto"/>
              <w:jc w:val="left"/>
            </w:pPr>
            <w:r>
              <w:rPr>
                <w:rFonts w:ascii="Calibri" w:hAnsi="Calibri"/>
                <w:sz w:val="17"/>
              </w:rPr>
              <w:t xml:space="preserve">Genuine alternatives, rational agency, and voluntary control.</w:t>
            </w:r>
          </w:p>
        </w:tc>
        <w:tc>
          <w:tcPr>
            <w:tcW w:type="dxa" w:w="2749"/>
          </w:tcPr>
          <w:p>
            <w:pPr>
              <w:pStyle w:val="BodyText"/>
              <w:keepNext w:val="0"/>
              <w:spacing w:after="80" w:line="252" w:lineRule="auto"/>
              <w:jc w:val="left"/>
            </w:pPr>
            <w:r>
              <w:rPr>
                <w:rFonts w:ascii="Calibri" w:hAnsi="Calibri"/>
                <w:sz w:val="17"/>
              </w:rPr>
              <w:t xml:space="preserve">An inexhaustible source that necessarily produces one finite world.</w:t>
            </w:r>
          </w:p>
        </w:tc>
      </w:tr>
      <w:tr>
        <w:tc>
          <w:tcPr>
            <w:tcW w:type="dxa" w:w="1689"/>
          </w:tcPr>
          <w:p>
            <w:pPr>
              <w:pStyle w:val="BodyText"/>
              <w:keepNext w:val="0"/>
              <w:spacing w:after="80" w:line="252" w:lineRule="auto"/>
              <w:jc w:val="left"/>
            </w:pPr>
            <w:r>
              <w:rPr>
                <w:rFonts w:ascii="Calibri" w:hAnsi="Calibri"/>
                <w:sz w:val="17"/>
              </w:rPr>
              <w:t xml:space="preserve">Invariant intrinsic actuality → determinate intention</w:t>
            </w:r>
          </w:p>
        </w:tc>
        <w:tc>
          <w:tcPr>
            <w:tcW w:type="dxa" w:w="2749"/>
          </w:tcPr>
          <w:p>
            <w:pPr>
              <w:pStyle w:val="BodyText"/>
              <w:keepNext w:val="0"/>
              <w:spacing w:after="80" w:line="252" w:lineRule="auto"/>
              <w:jc w:val="left"/>
            </w:pPr>
            <w:r>
              <w:rPr>
                <w:rFonts w:ascii="Calibri" w:hAnsi="Calibri"/>
                <w:sz w:val="17"/>
              </w:rPr>
              <w:t xml:space="preserve">The proposed difference belongs to the complete intentional action toward understood content.</w:t>
            </w:r>
          </w:p>
        </w:tc>
        <w:tc>
          <w:tcPr>
            <w:tcW w:type="dxa" w:w="2749"/>
          </w:tcPr>
          <w:p>
            <w:pPr>
              <w:pStyle w:val="BodyText"/>
              <w:keepNext w:val="0"/>
              <w:spacing w:after="80" w:line="252" w:lineRule="auto"/>
              <w:jc w:val="left"/>
            </w:pPr>
            <w:r>
              <w:rPr>
                <w:rFonts w:ascii="Calibri" w:hAnsi="Calibri"/>
                <w:sz w:val="17"/>
              </w:rPr>
              <w:t xml:space="preserve">A defended relational ontology of actual intentional direction.</w:t>
            </w:r>
          </w:p>
        </w:tc>
        <w:tc>
          <w:tcPr>
            <w:tcW w:type="dxa" w:w="2749"/>
          </w:tcPr>
          <w:p>
            <w:pPr>
              <w:pStyle w:val="BodyText"/>
              <w:keepNext w:val="0"/>
              <w:spacing w:after="80" w:line="252" w:lineRule="auto"/>
              <w:jc w:val="left"/>
            </w:pPr>
            <w:r>
              <w:rPr>
                <w:rFonts w:ascii="Calibri" w:hAnsi="Calibri"/>
                <w:sz w:val="17"/>
              </w:rPr>
              <w:t xml:space="preserve">Different intrinsic intentions across alternatives without parts or temporal acquisition.</w:t>
            </w:r>
          </w:p>
        </w:tc>
      </w:tr>
      <w:tr>
        <w:tc>
          <w:tcPr>
            <w:tcW w:type="dxa" w:w="1689"/>
          </w:tcPr>
          <w:p>
            <w:pPr>
              <w:pStyle w:val="BodyText"/>
              <w:keepNext w:val="0"/>
              <w:spacing w:after="80" w:line="252" w:lineRule="auto"/>
              <w:jc w:val="left"/>
            </w:pPr>
            <w:r>
              <w:rPr>
                <w:rFonts w:ascii="Calibri" w:hAnsi="Calibri"/>
                <w:sz w:val="17"/>
              </w:rPr>
              <w:t xml:space="preserve">Intelligent production → knowledge of its effect</w:t>
            </w:r>
          </w:p>
        </w:tc>
        <w:tc>
          <w:tcPr>
            <w:tcW w:type="dxa" w:w="2749"/>
          </w:tcPr>
          <w:p>
            <w:pPr>
              <w:pStyle w:val="BodyText"/>
              <w:keepNext w:val="0"/>
              <w:spacing w:after="80" w:line="252" w:lineRule="auto"/>
              <w:jc w:val="left"/>
            </w:pPr>
            <w:r>
              <w:rPr>
                <w:rFonts w:ascii="Calibri" w:hAnsi="Calibri"/>
                <w:sz w:val="17"/>
              </w:rPr>
              <w:t xml:space="preserve">Awareness of actual execution and its assured efficacy discloses what that execution produces.</w:t>
            </w:r>
          </w:p>
        </w:tc>
        <w:tc>
          <w:tcPr>
            <w:tcW w:type="dxa" w:w="2749"/>
          </w:tcPr>
          <w:p>
            <w:pPr>
              <w:pStyle w:val="BodyText"/>
              <w:keepNext w:val="0"/>
              <w:spacing w:after="80" w:line="252" w:lineRule="auto"/>
              <w:jc w:val="left"/>
            </w:pPr>
            <w:r>
              <w:rPr>
                <w:rFonts w:ascii="Calibri" w:hAnsi="Calibri"/>
                <w:sz w:val="17"/>
              </w:rPr>
              <w:t xml:space="preserve">Adequate, warranted, non-receptive awareness of the actual action.</w:t>
            </w:r>
          </w:p>
        </w:tc>
        <w:tc>
          <w:tcPr>
            <w:tcW w:type="dxa" w:w="2749"/>
          </w:tcPr>
          <w:p>
            <w:pPr>
              <w:pStyle w:val="BodyText"/>
              <w:keepNext w:val="0"/>
              <w:spacing w:after="80" w:line="252" w:lineRule="auto"/>
              <w:jc w:val="left"/>
            </w:pPr>
            <w:r>
              <w:rPr>
                <w:rFonts w:ascii="Calibri" w:hAnsi="Calibri"/>
                <w:sz w:val="17"/>
              </w:rPr>
              <w:t xml:space="preserve">Knowing every possible plan without knowing which action actually occurs.</w:t>
            </w:r>
          </w:p>
        </w:tc>
      </w:tr>
      <w:tr>
        <w:tc>
          <w:tcPr>
            <w:tcW w:type="dxa" w:w="1689"/>
          </w:tcPr>
          <w:p>
            <w:pPr>
              <w:pStyle w:val="BodyText"/>
              <w:keepNext w:val="0"/>
              <w:spacing w:after="80" w:line="252" w:lineRule="auto"/>
              <w:jc w:val="left"/>
            </w:pPr>
            <w:r>
              <w:rPr>
                <w:rFonts w:ascii="Calibri" w:hAnsi="Calibri"/>
                <w:sz w:val="17"/>
              </w:rPr>
              <w:t xml:space="preserve">Sustained power → secondary agency</w:t>
            </w:r>
          </w:p>
        </w:tc>
        <w:tc>
          <w:tcPr>
            <w:tcW w:type="dxa" w:w="2749"/>
          </w:tcPr>
          <w:p>
            <w:pPr>
              <w:pStyle w:val="BodyText"/>
              <w:keepNext w:val="0"/>
              <w:spacing w:after="80" w:line="252" w:lineRule="auto"/>
              <w:jc w:val="left"/>
            </w:pPr>
            <w:r>
              <w:rPr>
                <w:rFonts w:ascii="Calibri" w:hAnsi="Calibri"/>
                <w:sz w:val="17"/>
              </w:rPr>
              <w:t xml:space="preserve">A creature exercises a productive power that remains dependent on its source.</w:t>
            </w:r>
          </w:p>
        </w:tc>
        <w:tc>
          <w:tcPr>
            <w:tcW w:type="dxa" w:w="2749"/>
          </w:tcPr>
          <w:p>
            <w:pPr>
              <w:pStyle w:val="BodyText"/>
              <w:keepNext w:val="0"/>
              <w:spacing w:after="80" w:line="252" w:lineRule="auto"/>
              <w:jc w:val="left"/>
            </w:pPr>
            <w:r>
              <w:rPr>
                <w:rFonts w:ascii="Calibri" w:hAnsi="Calibri"/>
                <w:sz w:val="17"/>
              </w:rPr>
              <w:t xml:space="preserve">The efficacy and authorship of the creature’s own exercise.</w:t>
            </w:r>
          </w:p>
        </w:tc>
        <w:tc>
          <w:tcPr>
            <w:tcW w:type="dxa" w:w="2749"/>
          </w:tcPr>
          <w:p>
            <w:pPr>
              <w:pStyle w:val="BodyText"/>
              <w:keepNext w:val="0"/>
              <w:spacing w:after="80" w:line="252" w:lineRule="auto"/>
              <w:jc w:val="left"/>
            </w:pPr>
            <w:r>
              <w:rPr>
                <w:rFonts w:ascii="Calibri" w:hAnsi="Calibri"/>
                <w:sz w:val="17"/>
              </w:rPr>
              <w:t xml:space="preserve">Occasionalism: divine support replaces creaturely production.</w:t>
            </w:r>
          </w:p>
        </w:tc>
      </w:tr>
      <w:tr>
        <w:tc>
          <w:tcPr>
            <w:tcW w:type="dxa" w:w="1689"/>
          </w:tcPr>
          <w:p>
            <w:pPr>
              <w:pStyle w:val="BodyText"/>
              <w:keepNext w:val="0"/>
              <w:spacing w:after="80" w:line="252" w:lineRule="auto"/>
              <w:jc w:val="left"/>
            </w:pPr>
            <w:r>
              <w:rPr>
                <w:rFonts w:ascii="Calibri" w:hAnsi="Calibri"/>
                <w:sz w:val="17"/>
              </w:rPr>
              <w:t xml:space="preserve">Causal presence → knowledge of permitted choices</w:t>
            </w:r>
          </w:p>
        </w:tc>
        <w:tc>
          <w:tcPr>
            <w:tcW w:type="dxa" w:w="2749"/>
          </w:tcPr>
          <w:p>
            <w:pPr>
              <w:pStyle w:val="BodyText"/>
              <w:keepNext w:val="0"/>
              <w:spacing w:after="80" w:line="252" w:lineRule="auto"/>
              <w:jc w:val="left"/>
            </w:pPr>
            <w:r>
              <w:rPr>
                <w:rFonts w:ascii="Calibri" w:hAnsi="Calibri"/>
                <w:sz w:val="17"/>
              </w:rPr>
              <w:t xml:space="preserve">The proposed source has cognitive access to the choice as actually exercised.</w:t>
            </w:r>
          </w:p>
        </w:tc>
        <w:tc>
          <w:tcPr>
            <w:tcW w:type="dxa" w:w="2749"/>
          </w:tcPr>
          <w:p>
            <w:pPr>
              <w:pStyle w:val="BodyText"/>
              <w:keepNext w:val="0"/>
              <w:spacing w:after="80" w:line="252" w:lineRule="auto"/>
              <w:jc w:val="left"/>
            </w:pPr>
            <w:r>
              <w:rPr>
                <w:rFonts w:ascii="Calibri" w:hAnsi="Calibri"/>
                <w:sz w:val="17"/>
              </w:rPr>
              <w:t xml:space="preserve">A positive account of non-receptive cognitive access; foreknowledge requires a further account of eternity or another defended basis.</w:t>
            </w:r>
          </w:p>
        </w:tc>
        <w:tc>
          <w:tcPr>
            <w:tcW w:type="dxa" w:w="2749"/>
          </w:tcPr>
          <w:p>
            <w:pPr>
              <w:pStyle w:val="BodyText"/>
              <w:keepNext w:val="0"/>
              <w:spacing w:after="80" w:line="252" w:lineRule="auto"/>
              <w:jc w:val="left"/>
            </w:pPr>
            <w:r>
              <w:rPr>
                <w:rFonts w:ascii="Calibri" w:hAnsi="Calibri"/>
                <w:sz w:val="17"/>
              </w:rPr>
              <w:t xml:space="preserve">Causal support without cognitive acquaintance; no complete omniscience follows merely from presence.</w:t>
            </w:r>
          </w:p>
        </w:tc>
      </w:tr>
      <w:tr>
        <w:tc>
          <w:tcPr>
            <w:tcW w:type="dxa" w:w="1689"/>
          </w:tcPr>
          <w:p>
            <w:pPr>
              <w:pStyle w:val="BodyText"/>
              <w:keepNext w:val="0"/>
              <w:spacing w:after="80" w:line="252" w:lineRule="auto"/>
              <w:jc w:val="left"/>
            </w:pPr>
            <w:r>
              <w:rPr>
                <w:rFonts w:ascii="Calibri" w:hAnsi="Calibri"/>
                <w:sz w:val="17"/>
              </w:rPr>
              <w:t xml:space="preserve">Participation → communion</w:t>
            </w:r>
          </w:p>
        </w:tc>
        <w:tc>
          <w:tcPr>
            <w:tcW w:type="dxa" w:w="2749"/>
          </w:tcPr>
          <w:p>
            <w:pPr>
              <w:pStyle w:val="BodyText"/>
              <w:keepNext w:val="0"/>
              <w:spacing w:after="80" w:line="252" w:lineRule="auto"/>
              <w:jc w:val="left"/>
            </w:pPr>
            <w:r>
              <w:rPr>
                <w:rFonts w:ascii="Calibri" w:hAnsi="Calibri"/>
                <w:sz w:val="17"/>
              </w:rPr>
              <w:t xml:space="preserve">Distinct persons genuinely know and love, rather than merely share a cause.</w:t>
            </w:r>
          </w:p>
        </w:tc>
        <w:tc>
          <w:tcPr>
            <w:tcW w:type="dxa" w:w="2749"/>
          </w:tcPr>
          <w:p>
            <w:pPr>
              <w:pStyle w:val="BodyText"/>
              <w:keepNext w:val="0"/>
              <w:spacing w:after="80" w:line="252" w:lineRule="auto"/>
              <w:jc w:val="left"/>
            </w:pPr>
            <w:r>
              <w:rPr>
                <w:rFonts w:ascii="Calibri" w:hAnsi="Calibri"/>
                <w:sz w:val="17"/>
              </w:rPr>
              <w:t xml:space="preserve">Personal capacities, fitting ends, and, for supernatural communion, revelation and grace.</w:t>
            </w:r>
          </w:p>
        </w:tc>
        <w:tc>
          <w:tcPr>
            <w:tcW w:type="dxa" w:w="2749"/>
          </w:tcPr>
          <w:p>
            <w:pPr>
              <w:pStyle w:val="BodyText"/>
              <w:keepNext w:val="0"/>
              <w:spacing w:after="80" w:line="252" w:lineRule="auto"/>
              <w:jc w:val="left"/>
            </w:pPr>
            <w:r>
              <w:rPr>
                <w:rFonts w:ascii="Calibri" w:hAnsi="Calibri"/>
                <w:sz w:val="17"/>
              </w:rPr>
              <w:t xml:space="preserve">Dependence without recognition, love, or personal fulfillment.</w:t>
            </w:r>
          </w:p>
        </w:tc>
      </w:tr>
    </w:tbl>
    <w:p>
      <w:pPr>
        <w:pStyle w:val="BodyText"/>
      </w:pPr>
      <w:r>
        <w:t xml:space="preserve">Nonconstitutive real distinctions remain outside the immediate scope of the noncomposition theorem. These are conditional arguments with identifiable work to do. A countermodel shows why a missing bridge matters; it does not show that every historical defense of that bridge fails. The computational witnesses test stated interpretations, not the philosophical truth of the whole ontology.</w:t>
      </w:r>
    </w:p>
    <w:bookmarkEnd w:id="402"/>
    <w:bookmarkStart w:id="403" w:name="a-concrete-test-for-finite-goods"/>
    <w:p>
      <w:pPr>
        <w:pStyle w:val="Heading3"/>
      </w:pPr>
      <w:r>
        <w:t xml:space="preserve">A concrete test for finite goods</w:t>
      </w:r>
    </w:p>
    <w:p>
      <w:pPr>
        <w:pStyle w:val="FirstParagraph"/>
      </w:pPr>
      <w:r>
        <w:t xml:space="preserve">Ask what happens when the alleged limitation is removed.</w:t>
      </w:r>
    </w:p>
    <w:p>
      <w:pPr>
        <w:pStyle w:val="Compact"/>
        <w:numPr>
          <w:ilvl w:val="0"/>
          <w:numId w:val="1016"/>
        </w:numPr>
      </w:pPr>
      <w:r>
        <w:rPr>
          <w:b/>
          <w:bCs/>
        </w:rPr>
        <w:t xml:space="preserve">Privation:</w:t>
      </w:r>
      <w:r>
        <w:t xml:space="preserve"> </w:t>
      </w:r>
      <w:r>
        <w:t xml:space="preserve">removing ignorance improves understanding.</w:t>
      </w:r>
    </w:p>
    <w:p>
      <w:pPr>
        <w:pStyle w:val="Compact"/>
        <w:numPr>
          <w:ilvl w:val="0"/>
          <w:numId w:val="1016"/>
        </w:numPr>
      </w:pPr>
      <w:r>
        <w:rPr>
          <w:b/>
          <w:bCs/>
        </w:rPr>
        <w:t xml:space="preserve">Constitutive finite condition:</w:t>
      </w:r>
      <w:r>
        <w:t xml:space="preserve"> </w:t>
      </w:r>
      <w:r>
        <w:t xml:space="preserve">removing succession abolishes a melody rather than producing the same melody more perfectly.</w:t>
      </w:r>
    </w:p>
    <w:p>
      <w:pPr>
        <w:pStyle w:val="Compact"/>
        <w:numPr>
          <w:ilvl w:val="0"/>
          <w:numId w:val="1016"/>
        </w:numPr>
      </w:pPr>
      <w:r>
        <w:rPr>
          <w:b/>
          <w:bCs/>
        </w:rPr>
        <w:t xml:space="preserve">Adverse occasion:</w:t>
      </w:r>
      <w:r>
        <w:t xml:space="preserve"> </w:t>
      </w:r>
      <w:r>
        <w:t xml:space="preserve">courage can be good in danger without making the danger good or justifying its manufacture.</w:t>
      </w:r>
    </w:p>
    <w:p>
      <w:pPr>
        <w:pStyle w:val="FirstParagraph"/>
      </w:pPr>
      <w:r>
        <w:t xml:space="preserve">This test supports positive analogy without transferring an entire creaturely mode into God. Grounding the good of learning does not require God to learn. It also protects moral seriousness: healing and forgiveness do not justify illness or injury. Fulfillment can remove defects while preserving the creature’s identity and particular goods.</w:t>
      </w:r>
    </w:p>
    <w:bookmarkEnd w:id="403"/>
    <w:bookmarkStart w:id="404" w:name="where-revelation-changes-the-warrant"/>
    <w:p>
      <w:pPr>
        <w:pStyle w:val="Heading3"/>
      </w:pPr>
      <w:r>
        <w:t xml:space="preserve">Where revelation changes the warrant</w:t>
      </w:r>
    </w:p>
    <w:p>
      <w:pPr>
        <w:pStyle w:val="FirstParagraph"/>
      </w:pPr>
      <w:r>
        <w:t xml:space="preserve">The natural grammar is preparatory. It does not discover the Trinity, the Incarnation, sacramental institution, grace, or beatific vision by manipulating its symbols. Revealed personal origins are not creaturely reception; the Son’s being from the Father does not make the divine essence received from a more basic actuality. The hypostatic union is not merely an intensified case of ordinary participation.</w:t>
      </w:r>
    </w:p>
    <w:p>
      <w:pPr>
        <w:pStyle w:val="BodyText"/>
      </w:pPr>
      <w:r>
        <w:t xml:space="preserve">The manuscript’s account of God as the All names plenitude considered as universal sourcehood, never God and creatures combined into a larger totality. It requires positive perfection and universal sourcehood as well as negative exclusions. The Pauline all-in-all is a further, revealed consummation. In 1 Corinthians 15:20–28, it belongs to resurrection, Christ’s reign, the defeat of death, and the kingdom handed to the Father. This contextual account follows the supplied manuscript; it is not a newly verified translation or a metaphysical deduction from six simplicity arguments. The verse alone does not settle universal salvation.</w:t>
      </w:r>
    </w:p>
    <w:p>
      <w:pPr>
        <w:pStyle w:val="BodyText"/>
      </w:pPr>
      <w:r>
        <w:t xml:space="preserve">The resulting positive thesis is:</w:t>
      </w:r>
      <w:r>
        <w:t xml:space="preserve"> </w:t>
      </w:r>
      <w:r>
        <w:rPr>
          <w:b/>
          <w:bCs/>
        </w:rPr>
        <w:t xml:space="preserve">creation can be fulfilled in God without completing God.</w:t>
      </w:r>
      <w:r>
        <w:t xml:space="preserve"> </w:t>
      </w:r>
      <w:r>
        <w:t xml:space="preserve">The creature’s transformation is real; divine fullness is not assembled from that transformation. Immediate communion need not become exhaustive comprehension or absorption.</w:t>
      </w:r>
    </w:p>
    <w:bookmarkEnd w:id="404"/>
    <w:bookmarkStart w:id="405" w:name="what-this-development-claims"/>
    <w:p>
      <w:pPr>
        <w:pStyle w:val="Heading3"/>
      </w:pPr>
      <w:r>
        <w:t xml:space="preserve">What this development claims</w:t>
      </w:r>
    </w:p>
    <w:p>
      <w:pPr>
        <w:pStyle w:val="FirstParagraph"/>
      </w:pPr>
      <w:r>
        <w:t xml:space="preserve">The contribution is a coordinated explanation of possession, origin, intention, disclosure, and fulfillment. It neither claims an earned seventh proof of simplicity nor introduces a new primitive under a new name. Its Newman-like development test asks whether the synthesis preserves doctrine’s governing type, conserves the earlier achievements, assimilates distinctions without hiding contradictions, and makes the sequence of arguments more intelligible. That is a methodological assessment, not ecclesial certification.</w:t>
      </w:r>
    </w:p>
    <w:p>
      <w:pPr>
        <w:pStyle w:val="BodyText"/>
      </w:pPr>
      <w:r>
        <w:t xml:space="preserve">For each significant conclusion, retain four lines: the proposed explanation; its indispensable bridge; the strongest surviving rival; what remains to be established. This permits a positive metaphysical proposal to have explanatory power without treating its promise as a completed demonstration.</w:t>
      </w:r>
    </w:p>
    <w:p>
      <w:pPr>
        <w:pStyle w:val="BodyText"/>
      </w:pPr>
      <w:r>
        <w:t xml:space="preserve">Read</w:t>
      </w:r>
      <w:r>
        <w:t xml:space="preserve"> </w:t>
      </w:r>
      <w:hyperlink r:id="rId72">
        <w:r>
          <w:rPr>
            <w:rStyle w:val="Hyperlink"/>
          </w:rPr>
          <w:t xml:space="preserve">Participation</w:t>
        </w:r>
      </w:hyperlink>
      <w:r>
        <w:t xml:space="preserve">,</w:t>
      </w:r>
      <w:r>
        <w:t xml:space="preserve"> </w:t>
      </w:r>
      <w:hyperlink r:id="rId73">
        <w:r>
          <w:rPr>
            <w:rStyle w:val="Hyperlink"/>
          </w:rPr>
          <w:t xml:space="preserve">Beyond Participation</w:t>
        </w:r>
      </w:hyperlink>
      <w:r>
        <w:t xml:space="preserve">, and</w:t>
      </w:r>
      <w:r>
        <w:t xml:space="preserve"> </w:t>
      </w:r>
      <w:hyperlink r:id="rId75">
        <w:r>
          <w:rPr>
            <w:rStyle w:val="Hyperlink"/>
          </w:rPr>
          <w:t xml:space="preserve">Divine Agency</w:t>
        </w:r>
      </w:hyperlink>
      <w:r>
        <w:t xml:space="preserve">.</w:t>
      </w:r>
    </w:p>
    <w:bookmarkEnd w:id="405"/>
    <w:bookmarkEnd w:id="406"/>
    <w:sectPr w:rsidR="00FC693F" w:rsidRPr="0006063C" w:rsidSect="00034616">
      <w:headerReference w:type="default" r:id="rId9"/>
      <w:footerReference w:type="default" r:id="rId10"/>
      <w:pgSz w:h="15840" w:w="12240"/>
      <w:pgMar w:bottom="1152" w:footer="432" w:gutter="0" w:header="432" w:left="1152" w:right="1152" w:top="1152"/>
      <w:cols w:space="720"/>
      <w:titlePg/>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Complete website backup · October 17, 2026  |  Page </w:t>
    </w:r>
    <w:r/>
    <w:fldSimple w:instr="PAGE"/>
    <w:r>
      <w:t xml:space="preserve"> of </w:t>
    </w:r>
    <w:r/>
    <w:fldSimple w:instr="NUMPAGES"/>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PARTICIPATION RESEARCH ATLAS  |  PART I</w:t>
    </w:r>
  </w:p>
</w:hdr>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00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spacing w:after="140" w:line="276" w:lineRule="auto"/>
    </w:pPr>
    <w:rPr>
      <w:rFonts w:ascii="Cambria" w:hAnsi="Cambria"/>
      <w:color w:val="263432"/>
      <w:sz w:val="22"/>
    </w:rPr>
  </w:style>
  <w:style w:styleId="Header" w:type="paragraph">
    <w:name w:val="header"/>
    <w:basedOn w:val="Normal"/>
    <w:link w:val="HeaderChar"/>
    <w:uiPriority w:val="99"/>
    <w:unhideWhenUsed/>
    <w:rsid w:val="00E618BF"/>
    <w:pPr>
      <w:tabs>
        <w:tab w:pos="4680" w:val="center"/>
        <w:tab w:pos="9360" w:val="right"/>
      </w:tabs>
      <w:spacing w:after="0" w:line="240" w:lineRule="auto"/>
    </w:pPr>
    <w:rPr>
      <w:rFonts w:ascii="Calibri" w:hAnsi="Calibri"/>
      <w:color w:val="64716B"/>
      <w:sz w:val="18"/>
    </w:r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rPr>
      <w:rFonts w:ascii="Calibri" w:hAnsi="Calibri"/>
      <w:color w:val="64716B"/>
      <w:sz w:val="18"/>
    </w:r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pageBreakBefore/>
      <w:spacing w:after="180" w:before="340"/>
      <w:outlineLvl w:val="0"/>
    </w:pPr>
    <w:rPr>
      <w:rFonts w:ascii="Georgia" w:asciiTheme="majorHAnsi" w:cstheme="majorBidi" w:eastAsiaTheme="majorEastAsia" w:hAnsi="Georgia" w:hAnsiTheme="majorHAnsi"/>
      <w:b/>
      <w:bCs/>
      <w:color w:val="223C3A"/>
      <w:sz w:val="40"/>
      <w:szCs w:val="28"/>
    </w:rPr>
  </w:style>
  <w:style w:styleId="Heading2" w:type="paragraph">
    <w:name w:val="heading 2"/>
    <w:basedOn w:val="Normal"/>
    <w:next w:val="Normal"/>
    <w:link w:val="Heading2Char"/>
    <w:uiPriority w:val="9"/>
    <w:unhideWhenUsed/>
    <w:qFormat/>
    <w:rsid w:val="00FC693F"/>
    <w:pPr>
      <w:keepNext/>
      <w:keepLines/>
      <w:spacing w:after="180" w:before="340"/>
      <w:outlineLvl w:val="1"/>
    </w:pPr>
    <w:rPr>
      <w:rFonts w:ascii="Georgia" w:asciiTheme="majorHAnsi" w:cstheme="majorBidi" w:eastAsiaTheme="majorEastAsia" w:hAnsi="Georgia" w:hAnsiTheme="majorHAnsi"/>
      <w:b/>
      <w:bCs/>
      <w:color w:val="223C3A"/>
      <w:sz w:val="30"/>
      <w:szCs w:val="26"/>
    </w:rPr>
  </w:style>
  <w:style w:styleId="Heading3" w:type="paragraph">
    <w:name w:val="heading 3"/>
    <w:basedOn w:val="Normal"/>
    <w:next w:val="Normal"/>
    <w:link w:val="Heading3Char"/>
    <w:uiPriority w:val="9"/>
    <w:unhideWhenUsed/>
    <w:qFormat/>
    <w:rsid w:val="00FC693F"/>
    <w:pPr>
      <w:keepNext/>
      <w:keepLines/>
      <w:spacing w:after="180" w:before="340"/>
      <w:outlineLvl w:val="2"/>
    </w:pPr>
    <w:rPr>
      <w:rFonts w:ascii="Georgia" w:asciiTheme="majorHAnsi" w:cstheme="majorBidi" w:eastAsiaTheme="majorEastAsia" w:hAnsi="Georgia" w:hAnsiTheme="majorHAnsi"/>
      <w:b/>
      <w:bCs/>
      <w:color w:val="223C3A"/>
      <w:sz w:val="24"/>
    </w:rPr>
  </w:style>
  <w:style w:styleId="Heading4" w:type="paragraph">
    <w:name w:val="heading 4"/>
    <w:basedOn w:val="Normal"/>
    <w:next w:val="Normal"/>
    <w:link w:val="Heading4Char"/>
    <w:uiPriority w:val="9"/>
    <w:semiHidden/>
    <w:unhideWhenUsed/>
    <w:qFormat/>
    <w:rsid w:val="00FC693F"/>
    <w:pPr>
      <w:keepNext/>
      <w:keepLines/>
      <w:spacing w:after="180" w:before="340"/>
      <w:outlineLvl w:val="3"/>
    </w:pPr>
    <w:rPr>
      <w:rFonts w:ascii="Georgia" w:asciiTheme="majorHAnsi" w:cstheme="majorBidi" w:eastAsiaTheme="majorEastAsia" w:hAnsi="Georgia" w:hAnsiTheme="majorHAnsi"/>
      <w:b/>
      <w:bCs/>
      <w:i/>
      <w:iCs/>
      <w:color w:val="223C3A"/>
      <w:sz w:val="22"/>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keepNext/>
      <w:pBdr>
        <w:bottom w:color="4F81BD" w:space="4" w:sz="8" w:themeColor="accent1" w:val="single"/>
      </w:pBdr>
      <w:spacing w:after="180" w:before="800" w:line="240" w:lineRule="auto"/>
      <w:contextualSpacing/>
    </w:pPr>
    <w:rPr>
      <w:rFonts w:ascii="Georgia" w:asciiTheme="majorHAnsi" w:cstheme="majorBidi" w:eastAsiaTheme="majorEastAsia" w:hAnsi="Georgia" w:hAnsiTheme="majorHAnsi"/>
      <w:color w:val="223C3A"/>
      <w:spacing w:val="5"/>
      <w:kern w:val="28"/>
      <w:sz w:val="58"/>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Cambria" w:asciiTheme="majorHAnsi" w:cstheme="majorBidi" w:eastAsiaTheme="majorEastAsia" w:hAnsi="Cambria" w:hAnsiTheme="majorHAnsi"/>
      <w:i/>
      <w:iCs/>
      <w:color w:val="9D593C"/>
      <w:spacing w:val="15"/>
      <w:sz w:val="30"/>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40" w:line="276" w:lineRule="auto"/>
    </w:pPr>
    <w:rPr>
      <w:rFonts w:ascii="Cambria" w:hAnsi="Cambria"/>
      <w:color w:val="263432"/>
      <w:sz w:val="22"/>
    </w:r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customStyle="1" w:styleId="SourceCode" w:type="paragraph">
    <w:name w:val="Source Code"/>
    <w:rPr>
      <w:rFonts w:ascii="DejaVu Sans Mono" w:hAnsi="DejaVu Sans Mono"/>
      <w:sz w:val="16"/>
    </w:rPr>
  </w:style>
  <w:style w:customStyle="1" w:styleId="VerbatimChar" w:type="character">
    <w:name w:val="Verbatim Char"/>
    <w:rPr>
      <w:rFonts w:ascii="DejaVu Sans Mono" w:hAnsi="DejaVu Sans Mono"/>
      <w:sz w:val="16"/>
    </w:r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276" Type="http://schemas.openxmlformats.org/officeDocument/2006/relationships/hyperlink" Target="https://github.com/latin-ocr/monologiumetpro00ansegoog" TargetMode="External"/><Relationship Id="rId370" Type="http://schemas.openxmlformats.org/officeDocument/2006/relationships/hyperlink" Target="https://github.com/neoenanos/itinerario-de-la-mente-a-dios-Buenaventura/blob/main/md/BUENAVENTURA%20-%20Itinerario%20de%20la%20mente%20a%20Dios.md" TargetMode="External"/><Relationship Id="rId364" Type="http://schemas.openxmlformats.org/officeDocument/2006/relationships/hyperlink" Target="https://jasper-hopkins.info/" TargetMode="External"/><Relationship Id="rId72" Type="http://schemas.openxmlformats.org/officeDocument/2006/relationships/hyperlink" Target="https://participation-6o4.pages.dev/" TargetMode="External"/><Relationship Id="rId244" Type="http://schemas.openxmlformats.org/officeDocument/2006/relationships/hyperlink" Target="https://participation-6o4.pages.dev/#basis" TargetMode="External"/><Relationship Id="rId245" Type="http://schemas.openxmlformats.org/officeDocument/2006/relationships/hyperlink" Target="https://participation-6o4.pages.dev/#derivations" TargetMode="External"/><Relationship Id="rId252" Type="http://schemas.openxmlformats.org/officeDocument/2006/relationships/hyperlink" Target="https://participation-6o4.pages.dev/#history" TargetMode="External"/><Relationship Id="rId163" Type="http://schemas.openxmlformats.org/officeDocument/2006/relationships/hyperlink" Target="https://participation-6o4.pages.dev/#introduction" TargetMode="External"/><Relationship Id="rId259" Type="http://schemas.openxmlformats.org/officeDocument/2006/relationships/hyperlink" Target="https://participation-6o4.pages.dev/#laboratory" TargetMode="External"/><Relationship Id="rId101" Type="http://schemas.openxmlformats.org/officeDocument/2006/relationships/hyperlink" Target="https://participation-6o4.pages.dev/#participation" TargetMode="External"/><Relationship Id="rId110" Type="http://schemas.openxmlformats.org/officeDocument/2006/relationships/hyperlink" Target="https://participation-6o4.pages.dev/#qa-causation-and-likeness" TargetMode="External"/><Relationship Id="rId109" Type="http://schemas.openxmlformats.org/officeDocument/2006/relationships/hyperlink" Target="https://participation-6o4.pages.dev/#qa-from-without-partition" TargetMode="External"/><Relationship Id="rId111" Type="http://schemas.openxmlformats.org/officeDocument/2006/relationships/hyperlink" Target="https://participation-6o4.pages.dev/#qa-likeness-and-otherness" TargetMode="External"/><Relationship Id="rId73" Type="http://schemas.openxmlformats.org/officeDocument/2006/relationships/hyperlink" Target="https://participation-6o4.pages.dev/beyond-participation/" TargetMode="External"/><Relationship Id="rId114" Type="http://schemas.openxmlformats.org/officeDocument/2006/relationships/hyperlink" Target="https://participation-6o4.pages.dev/beyond-participation/#qa-contingency-and-agency" TargetMode="External"/><Relationship Id="rId113" Type="http://schemas.openxmlformats.org/officeDocument/2006/relationships/hyperlink" Target="https://participation-6o4.pages.dev/beyond-participation/#qa-fullness-and-contingency" TargetMode="External"/><Relationship Id="rId112" Type="http://schemas.openxmlformats.org/officeDocument/2006/relationships/hyperlink" Target="https://participation-6o4.pages.dev/beyond-participation/#qa-underivation-and-simplicity" TargetMode="External"/><Relationship Id="rId93" Type="http://schemas.openxmlformats.org/officeDocument/2006/relationships/hyperlink" Target="https://participation-6o4.pages.dev/church-and-sacrament/" TargetMode="External"/><Relationship Id="rId151" Type="http://schemas.openxmlformats.org/officeDocument/2006/relationships/hyperlink" Target="https://participation-6o4.pages.dev/church-and-sacrament/#qa-church-eucharist-evidence" TargetMode="External"/><Relationship Id="rId150" Type="http://schemas.openxmlformats.org/officeDocument/2006/relationships/hyperlink" Target="https://participation-6o4.pages.dev/church-and-sacrament/#qa-church-sacraments-magic" TargetMode="External"/><Relationship Id="rId149" Type="http://schemas.openxmlformats.org/officeDocument/2006/relationships/hyperlink" Target="https://participation-6o4.pages.dev/church-and-sacrament/#qa-church-why-mediation" TargetMode="External"/><Relationship Id="rId67" Type="http://schemas.openxmlformats.org/officeDocument/2006/relationships/hyperlink" Target="https://participation-6o4.pages.dev/glossary/" TargetMode="External"/><Relationship Id="rId54" Type="http://schemas.openxmlformats.org/officeDocument/2006/relationships/hyperlink" Target="https://participation-6o4.pages.dev/glossary/#term-absolute-idealism" TargetMode="External"/><Relationship Id="rId22" Type="http://schemas.openxmlformats.org/officeDocument/2006/relationships/hyperlink" Target="https://participation-6o4.pages.dev/glossary/#term-actuality" TargetMode="External"/><Relationship Id="rId115" Type="http://schemas.openxmlformats.org/officeDocument/2006/relationships/hyperlink" Target="https://participation-6o4.pages.dev/glossary/#term-agency" TargetMode="External"/><Relationship Id="rId55" Type="http://schemas.openxmlformats.org/officeDocument/2006/relationships/hyperlink" Target="https://participation-6o4.pages.dev/glossary/#term-analogia-entis" TargetMode="External"/><Relationship Id="rId124" Type="http://schemas.openxmlformats.org/officeDocument/2006/relationships/hyperlink" Target="https://participation-6o4.pages.dev/glossary/#term-analogy" TargetMode="External"/><Relationship Id="rId107" Type="http://schemas.openxmlformats.org/officeDocument/2006/relationships/hyperlink" Target="https://participation-6o4.pages.dev/glossary/#term-attestative-scope" TargetMode="External"/><Relationship Id="rId181" Type="http://schemas.openxmlformats.org/officeDocument/2006/relationships/hyperlink" Target="https://participation-6o4.pages.dev/glossary/#term-beatific-vision" TargetMode="External"/><Relationship Id="rId51" Type="http://schemas.openxmlformats.org/officeDocument/2006/relationships/hyperlink" Target="https://participation-6o4.pages.dev/glossary/#term-bridge-principle" TargetMode="External"/><Relationship Id="rId32" Type="http://schemas.openxmlformats.org/officeDocument/2006/relationships/hyperlink" Target="https://participation-6o4.pages.dev/glossary/#term-causal-adequacy" TargetMode="External"/><Relationship Id="rId39" Type="http://schemas.openxmlformats.org/officeDocument/2006/relationships/hyperlink" Target="https://participation-6o4.pages.dev/glossary/#term-causal-precontainment" TargetMode="External"/><Relationship Id="rId36" Type="http://schemas.openxmlformats.org/officeDocument/2006/relationships/hyperlink" Target="https://participation-6o4.pages.dev/glossary/#term-common-genus" TargetMode="External"/><Relationship Id="rId21" Type="http://schemas.openxmlformats.org/officeDocument/2006/relationships/hyperlink" Target="https://participation-6o4.pages.dev/glossary/#term-communion" TargetMode="External"/><Relationship Id="rId166" Type="http://schemas.openxmlformats.org/officeDocument/2006/relationships/hyperlink" Target="https://participation-6o4.pages.dev/glossary/#term-composition" TargetMode="External"/><Relationship Id="rId182" Type="http://schemas.openxmlformats.org/officeDocument/2006/relationships/hyperlink" Target="https://participation-6o4.pages.dev/glossary/#term-comprehension" TargetMode="External"/><Relationship Id="rId27" Type="http://schemas.openxmlformats.org/officeDocument/2006/relationships/hyperlink" Target="https://participation-6o4.pages.dev/glossary/#term-constitution" TargetMode="External"/><Relationship Id="rId52" Type="http://schemas.openxmlformats.org/officeDocument/2006/relationships/hyperlink" Target="https://participation-6o4.pages.dev/glossary/#term-countermodel-deletion" TargetMode="External"/><Relationship Id="rId56" Type="http://schemas.openxmlformats.org/officeDocument/2006/relationships/hyperlink" Target="https://participation-6o4.pages.dev/glossary/#term-creation-ex-nihilo" TargetMode="External"/><Relationship Id="rId57" Type="http://schemas.openxmlformats.org/officeDocument/2006/relationships/hyperlink" Target="https://participation-6o4.pages.dev/glossary/#term-deism" TargetMode="External"/><Relationship Id="rId119" Type="http://schemas.openxmlformats.org/officeDocument/2006/relationships/hyperlink" Target="https://participation-6o4.pages.dev/glossary/#term-determination" TargetMode="External"/><Relationship Id="rId20" Type="http://schemas.openxmlformats.org/officeDocument/2006/relationships/hyperlink" Target="https://participation-6o4.pages.dev/glossary/#term-disclosure" TargetMode="External"/><Relationship Id="rId167" Type="http://schemas.openxmlformats.org/officeDocument/2006/relationships/hyperlink" Target="https://participation-6o4.pages.dev/glossary/#term-divine-simplicity" TargetMode="External"/><Relationship Id="rId41" Type="http://schemas.openxmlformats.org/officeDocument/2006/relationships/hyperlink" Target="https://participation-6o4.pages.dev/glossary/#term-epektasis" TargetMode="External"/><Relationship Id="rId174" Type="http://schemas.openxmlformats.org/officeDocument/2006/relationships/hyperlink" Target="https://participation-6o4.pages.dev/glossary/#term-epistemic-warrant" TargetMode="External"/><Relationship Id="rId59" Type="http://schemas.openxmlformats.org/officeDocument/2006/relationships/hyperlink" Target="https://participation-6o4.pages.dev/glossary/#term-essence-energies-distinction" TargetMode="External"/><Relationship Id="rId58" Type="http://schemas.openxmlformats.org/officeDocument/2006/relationships/hyperlink" Target="https://participation-6o4.pages.dev/glossary/#term-essence-existence" TargetMode="External"/><Relationship Id="rId37" Type="http://schemas.openxmlformats.org/officeDocument/2006/relationships/hyperlink" Target="https://participation-6o4.pages.dev/glossary/#term-exemplarism" TargetMode="External"/><Relationship Id="rId129" Type="http://schemas.openxmlformats.org/officeDocument/2006/relationships/hyperlink" Target="https://participation-6o4.pages.dev/glossary/#term-finality" TargetMode="External"/><Relationship Id="rId60" Type="http://schemas.openxmlformats.org/officeDocument/2006/relationships/hyperlink" Target="https://participation-6o4.pages.dev/glossary/#term-formal-distinction" TargetMode="External"/><Relationship Id="rId70" Type="http://schemas.openxmlformats.org/officeDocument/2006/relationships/hyperlink" Target="https://participation-6o4.pages.dev/glossary/#term-fulfillment" TargetMode="External"/><Relationship Id="rId143" Type="http://schemas.openxmlformats.org/officeDocument/2006/relationships/hyperlink" Target="https://participation-6o4.pages.dev/glossary/#term-grace" TargetMode="External"/><Relationship Id="rId25" Type="http://schemas.openxmlformats.org/officeDocument/2006/relationships/hyperlink" Target="https://participation-6o4.pages.dev/glossary/#term-grounding" TargetMode="External"/><Relationship Id="rId195" Type="http://schemas.openxmlformats.org/officeDocument/2006/relationships/hyperlink" Target="https://participation-6o4.pages.dev/glossary/#term-intrinsic-actuality" TargetMode="External"/><Relationship Id="rId49" Type="http://schemas.openxmlformats.org/officeDocument/2006/relationships/hyperlink" Target="https://participation-6o4.pages.dev/glossary/#term-intrinsic-invariance" TargetMode="External"/><Relationship Id="rId179" Type="http://schemas.openxmlformats.org/officeDocument/2006/relationships/hyperlink" Target="https://participation-6o4.pages.dev/glossary/#term-justification" TargetMode="External"/><Relationship Id="rId148" Type="http://schemas.openxmlformats.org/officeDocument/2006/relationships/hyperlink" Target="https://participation-6o4.pages.dev/glossary/#term-liturgy" TargetMode="External"/><Relationship Id="rId38" Type="http://schemas.openxmlformats.org/officeDocument/2006/relationships/hyperlink" Target="https://participation-6o4.pages.dev/glossary/#term-logoi-rationes" TargetMode="External"/><Relationship Id="rId123" Type="http://schemas.openxmlformats.org/officeDocument/2006/relationships/hyperlink" Target="https://participation-6o4.pages.dev/glossary/#term-manifestation" TargetMode="External"/><Relationship Id="rId31" Type="http://schemas.openxmlformats.org/officeDocument/2006/relationships/hyperlink" Target="https://participation-6o4.pages.dev/glossary/#term-measure-mode" TargetMode="External"/><Relationship Id="rId61" Type="http://schemas.openxmlformats.org/officeDocument/2006/relationships/hyperlink" Target="https://participation-6o4.pages.dev/glossary/#term-mixed-relations" TargetMode="External"/><Relationship Id="rId48" Type="http://schemas.openxmlformats.org/officeDocument/2006/relationships/hyperlink" Target="https://participation-6o4.pages.dev/glossary/#term-modal-collapse" TargetMode="External"/><Relationship Id="rId47" Type="http://schemas.openxmlformats.org/officeDocument/2006/relationships/hyperlink" Target="https://participation-6o4.pages.dev/glossary/#term-modality" TargetMode="External"/><Relationship Id="rId46" Type="http://schemas.openxmlformats.org/officeDocument/2006/relationships/hyperlink" Target="https://participation-6o4.pages.dev/glossary/#term-necessary-emanation" TargetMode="External"/><Relationship Id="rId44" Type="http://schemas.openxmlformats.org/officeDocument/2006/relationships/hyperlink" Target="https://participation-6o4.pages.dev/glossary/#term-noncompetitive-causality" TargetMode="External"/><Relationship Id="rId35" Type="http://schemas.openxmlformats.org/officeDocument/2006/relationships/hyperlink" Target="https://participation-6o4.pages.dev/glossary/#term-nonexhaustion" TargetMode="External"/><Relationship Id="rId34" Type="http://schemas.openxmlformats.org/officeDocument/2006/relationships/hyperlink" Target="https://participation-6o4.pages.dev/glossary/#term-nonpartition" TargetMode="External"/><Relationship Id="rId45" Type="http://schemas.openxmlformats.org/officeDocument/2006/relationships/hyperlink" Target="https://participation-6o4.pages.dev/glossary/#term-occasionalism" TargetMode="External"/><Relationship Id="rId24" Type="http://schemas.openxmlformats.org/officeDocument/2006/relationships/hyperlink" Target="https://participation-6o4.pages.dev/glossary/#term-ontological-dependence" TargetMode="External"/><Relationship Id="rId165" Type="http://schemas.openxmlformats.org/officeDocument/2006/relationships/hyperlink" Target="https://participation-6o4.pages.dev/glossary/#term-ontology-and-metaphysics" TargetMode="External"/><Relationship Id="rId62" Type="http://schemas.openxmlformats.org/officeDocument/2006/relationships/hyperlink" Target="https://participation-6o4.pages.dev/glossary/#term-panentheism" TargetMode="External"/><Relationship Id="rId63" Type="http://schemas.openxmlformats.org/officeDocument/2006/relationships/hyperlink" Target="https://participation-6o4.pages.dev/glossary/#term-pantheism" TargetMode="External"/><Relationship Id="rId29" Type="http://schemas.openxmlformats.org/officeDocument/2006/relationships/hyperlink" Target="https://participation-6o4.pages.dev/glossary/#term-participation" TargetMode="External"/><Relationship Id="rId64" Type="http://schemas.openxmlformats.org/officeDocument/2006/relationships/hyperlink" Target="https://participation-6o4.pages.dev/glossary/#term-platonism" TargetMode="External"/><Relationship Id="rId50" Type="http://schemas.openxmlformats.org/officeDocument/2006/relationships/hyperlink" Target="https://participation-6o4.pages.dev/glossary/#term-primitive" TargetMode="External"/><Relationship Id="rId178" Type="http://schemas.openxmlformats.org/officeDocument/2006/relationships/hyperlink" Target="https://participation-6o4.pages.dev/glossary/#term-privation" TargetMode="External"/><Relationship Id="rId42" Type="http://schemas.openxmlformats.org/officeDocument/2006/relationships/hyperlink" Target="https://participation-6o4.pages.dev/glossary/#term-procession-return" TargetMode="External"/><Relationship Id="rId23" Type="http://schemas.openxmlformats.org/officeDocument/2006/relationships/hyperlink" Target="https://participation-6o4.pages.dev/glossary/#term-productive-causation" TargetMode="External"/><Relationship Id="rId152" Type="http://schemas.openxmlformats.org/officeDocument/2006/relationships/hyperlink" Target="https://participation-6o4.pages.dev/glossary/#term-providence" TargetMode="External"/><Relationship Id="rId33" Type="http://schemas.openxmlformats.org/officeDocument/2006/relationships/hyperlink" Target="https://participation-6o4.pages.dev/glossary/#term-pure-perfection" TargetMode="External"/><Relationship Id="rId26" Type="http://schemas.openxmlformats.org/officeDocument/2006/relationships/hyperlink" Target="https://participation-6o4.pages.dev/glossary/#term-realization" TargetMode="External"/><Relationship Id="rId28" Type="http://schemas.openxmlformats.org/officeDocument/2006/relationships/hyperlink" Target="https://participation-6o4.pages.dev/glossary/#term-reception" TargetMode="External"/><Relationship Id="rId156" Type="http://schemas.openxmlformats.org/officeDocument/2006/relationships/hyperlink" Target="https://participation-6o4.pages.dev/glossary/#term-resurrection" TargetMode="External"/><Relationship Id="rId125" Type="http://schemas.openxmlformats.org/officeDocument/2006/relationships/hyperlink" Target="https://participation-6o4.pages.dev/glossary/#term-revelation" TargetMode="External"/><Relationship Id="rId147" Type="http://schemas.openxmlformats.org/officeDocument/2006/relationships/hyperlink" Target="https://participation-6o4.pages.dev/glossary/#term-sacrament" TargetMode="External"/><Relationship Id="rId43" Type="http://schemas.openxmlformats.org/officeDocument/2006/relationships/hyperlink" Target="https://participation-6o4.pages.dev/glossary/#term-secondary-causality" TargetMode="External"/><Relationship Id="rId40" Type="http://schemas.openxmlformats.org/officeDocument/2006/relationships/hyperlink" Target="https://participation-6o4.pages.dev/glossary/#term-theophany" TargetMode="External"/><Relationship Id="rId133" Type="http://schemas.openxmlformats.org/officeDocument/2006/relationships/hyperlink" Target="https://participation-6o4.pages.dev/glossary/#term-trinity" TargetMode="External"/><Relationship Id="rId30" Type="http://schemas.openxmlformats.org/officeDocument/2006/relationships/hyperlink" Target="https://participation-6o4.pages.dev/glossary/#term-underivation" TargetMode="External"/><Relationship Id="rId53" Type="http://schemas.openxmlformats.org/officeDocument/2006/relationships/hyperlink" Target="https://participation-6o4.pages.dev/glossary/#term-unity" TargetMode="External"/><Relationship Id="rId65" Type="http://schemas.openxmlformats.org/officeDocument/2006/relationships/hyperlink" Target="https://participation-6o4.pages.dev/glossary/#term-univocity" TargetMode="External"/><Relationship Id="rId66" Type="http://schemas.openxmlformats.org/officeDocument/2006/relationships/hyperlink" Target="https://participation-6o4.pages.dev/glossary/#term-vestige-image-and-similitude" TargetMode="External"/><Relationship Id="rId82" Type="http://schemas.openxmlformats.org/officeDocument/2006/relationships/hyperlink" Target="https://participation-6o4.pages.dev/goodness-and-fulfillment/" TargetMode="External"/><Relationship Id="rId130" Type="http://schemas.openxmlformats.org/officeDocument/2006/relationships/hyperlink" Target="https://participation-6o4.pages.dev/goodness-and-fulfillment/#qa-goodness-finite-defect" TargetMode="External"/><Relationship Id="rId132" Type="http://schemas.openxmlformats.org/officeDocument/2006/relationships/hyperlink" Target="https://participation-6o4.pages.dev/goodness-and-fulfillment/#qa-goodness-return" TargetMode="External"/><Relationship Id="rId131" Type="http://schemas.openxmlformats.org/officeDocument/2006/relationships/hyperlink" Target="https://participation-6o4.pages.dev/goodness-and-fulfillment/#qa-goodness-suffering" TargetMode="External"/><Relationship Id="rId91" Type="http://schemas.openxmlformats.org/officeDocument/2006/relationships/hyperlink" Target="https://participation-6o4.pages.dev/grace-and-prayer/" TargetMode="External"/><Relationship Id="rId144" Type="http://schemas.openxmlformats.org/officeDocument/2006/relationships/hyperlink" Target="https://participation-6o4.pages.dev/grace-and-prayer/#qa-grace-does-everything" TargetMode="External"/><Relationship Id="rId146" Type="http://schemas.openxmlformats.org/officeDocument/2006/relationships/hyperlink" Target="https://participation-6o4.pages.dev/grace-and-prayer/#qa-grace-feeling" TargetMode="External"/><Relationship Id="rId145" Type="http://schemas.openxmlformats.org/officeDocument/2006/relationships/hyperlink" Target="https://participation-6o4.pages.dev/grace-and-prayer/#qa-grace-rosary-mary" TargetMode="External"/><Relationship Id="rId103" Type="http://schemas.openxmlformats.org/officeDocument/2006/relationships/hyperlink" Target="https://participation-6o4.pages.dev/grace-and-prayer/#rosary" TargetMode="External"/><Relationship Id="rId89" Type="http://schemas.openxmlformats.org/officeDocument/2006/relationships/hyperlink" Target="https://participation-6o4.pages.dev/human-person/" TargetMode="External"/><Relationship Id="rId141" Type="http://schemas.openxmlformats.org/officeDocument/2006/relationships/hyperlink" Target="https://participation-6o4.pages.dev/human-person/#qa-human-person-dependent-agency" TargetMode="External"/><Relationship Id="rId142" Type="http://schemas.openxmlformats.org/officeDocument/2006/relationships/hyperlink" Target="https://participation-6o4.pages.dev/human-person/#qa-human-person-dignity" TargetMode="External"/><Relationship Id="rId140" Type="http://schemas.openxmlformats.org/officeDocument/2006/relationships/hyperlink" Target="https://participation-6o4.pages.dev/human-person/#qa-human-person-soul-body" TargetMode="External"/><Relationship Id="rId87" Type="http://schemas.openxmlformats.org/officeDocument/2006/relationships/hyperlink" Target="https://participation-6o4.pages.dev/incarnation/" TargetMode="External"/><Relationship Id="rId104" Type="http://schemas.openxmlformats.org/officeDocument/2006/relationships/hyperlink" Target="https://participation-6o4.pages.dev/incarnation/#mary-theotokos" TargetMode="External"/><Relationship Id="rId137" Type="http://schemas.openxmlformats.org/officeDocument/2006/relationships/hyperlink" Target="https://participation-6o4.pages.dev/incarnation/#qa-incarnation-god-suffers" TargetMode="External"/><Relationship Id="rId138" Type="http://schemas.openxmlformats.org/officeDocument/2006/relationships/hyperlink" Target="https://participation-6o4.pages.dev/incarnation/#qa-incarnation-human-agency" TargetMode="External"/><Relationship Id="rId139" Type="http://schemas.openxmlformats.org/officeDocument/2006/relationships/hyperlink" Target="https://participation-6o4.pages.dev/incarnation/#qa-incarnation-mother-of-god" TargetMode="External"/><Relationship Id="rId80" Type="http://schemas.openxmlformats.org/officeDocument/2006/relationships/hyperlink" Target="https://participation-6o4.pages.dev/manifestation-and-revelation/" TargetMode="External"/><Relationship Id="rId106" Type="http://schemas.openxmlformats.org/officeDocument/2006/relationships/hyperlink" Target="https://participation-6o4.pages.dev/manifestation-and-revelation/#miracle-testimony" TargetMode="External"/><Relationship Id="rId128" Type="http://schemas.openxmlformats.org/officeDocument/2006/relationships/hyperlink" Target="https://participation-6o4.pages.dev/manifestation-and-revelation/#qa-manifestation-analogy-knowledge" TargetMode="External"/><Relationship Id="rId127" Type="http://schemas.openxmlformats.org/officeDocument/2006/relationships/hyperlink" Target="https://participation-6o4.pages.dev/manifestation-and-revelation/#qa-manifestation-miracle-proof" TargetMode="External"/><Relationship Id="rId126" Type="http://schemas.openxmlformats.org/officeDocument/2006/relationships/hyperlink" Target="https://participation-6o4.pages.dev/manifestation-and-revelation/#qa-manifestation-revelation-resemblance" TargetMode="External"/><Relationship Id="rId95" Type="http://schemas.openxmlformats.org/officeDocument/2006/relationships/hyperlink" Target="https://participation-6o4.pages.dev/providence-and-evil/" TargetMode="External"/><Relationship Id="rId155" Type="http://schemas.openxmlformats.org/officeDocument/2006/relationships/hyperlink" Target="https://participation-6o4.pages.dev/providence-and-evil/#qa-providence-healing-and-evil" TargetMode="External"/><Relationship Id="rId154" Type="http://schemas.openxmlformats.org/officeDocument/2006/relationships/hyperlink" Target="https://participation-6o4.pages.dev/providence-and-evil/#qa-providence-prayer-change" TargetMode="External"/><Relationship Id="rId153" Type="http://schemas.openxmlformats.org/officeDocument/2006/relationships/hyperlink" Target="https://participation-6o4.pages.dev/providence-and-evil/#qa-providence-responsibility" TargetMode="External"/><Relationship Id="rId75" Type="http://schemas.openxmlformats.org/officeDocument/2006/relationships/hyperlink" Target="https://participation-6o4.pages.dev/real-difference/" TargetMode="External"/><Relationship Id="rId116" Type="http://schemas.openxmlformats.org/officeDocument/2006/relationships/hyperlink" Target="https://participation-6o4.pages.dev/real-difference/#qa-determinate-divine-intention" TargetMode="External"/><Relationship Id="rId117" Type="http://schemas.openxmlformats.org/officeDocument/2006/relationships/hyperlink" Target="https://participation-6o4.pages.dev/real-difference/#qa-knowing-actual-action" TargetMode="External"/><Relationship Id="rId118" Type="http://schemas.openxmlformats.org/officeDocument/2006/relationships/hyperlink" Target="https://participation-6o4.pages.dev/real-difference/#qa-why-finite-goods-matter" TargetMode="External"/><Relationship Id="rId79" Type="http://schemas.openxmlformats.org/officeDocument/2006/relationships/hyperlink" Target="https://participation-6o4.pages.dev/reality-and-relation/" TargetMode="External"/><Relationship Id="rId121" Type="http://schemas.openxmlformats.org/officeDocument/2006/relationships/hyperlink" Target="https://participation-6o4.pages.dev/reality-and-relation/#qa-reality-one-realizer" TargetMode="External"/><Relationship Id="rId122" Type="http://schemas.openxmlformats.org/officeDocument/2006/relationships/hyperlink" Target="https://participation-6o4.pages.dev/reality-and-relation/#qa-reality-participation-ownership" TargetMode="External"/><Relationship Id="rId120" Type="http://schemas.openxmlformats.org/officeDocument/2006/relationships/hyperlink" Target="https://participation-6o4.pages.dev/reality-and-relation/#qa-reality-real-difference" TargetMode="External"/><Relationship Id="rId223" Type="http://schemas.openxmlformats.org/officeDocument/2006/relationships/hyperlink" Target="https://participation-6o4.pages.dev/research/ancient-patristic.md" TargetMode="External"/><Relationship Id="rId226" Type="http://schemas.openxmlformats.org/officeDocument/2006/relationships/hyperlink" Target="https://participation-6o4.pages.dev/research/aquinas-scotus-newman.md" TargetMode="External"/><Relationship Id="rId161" Type="http://schemas.openxmlformats.org/officeDocument/2006/relationships/hyperlink" Target="https://participation-6o4.pages.dev/research/atlas/source-method.md" TargetMode="External"/><Relationship Id="rId224" Type="http://schemas.openxmlformats.org/officeDocument/2006/relationships/hyperlink" Target="https://participation-6o4.pages.dev/research/eastern-metaphysics.md" TargetMode="External"/><Relationship Id="rId236" Type="http://schemas.openxmlformats.org/officeDocument/2006/relationships/hyperlink" Target="https://participation-6o4.pages.dev/research/formal-architecture.md" TargetMode="External"/><Relationship Id="rId225" Type="http://schemas.openxmlformats.org/officeDocument/2006/relationships/hyperlink" Target="https://participation-6o4.pages.dev/research/latin-exemplarism.md" TargetMode="External"/><Relationship Id="rId184" Type="http://schemas.openxmlformats.org/officeDocument/2006/relationships/hyperlink" Target="https://participation-6o4.pages.dev/research/reading-guide.md" TargetMode="External"/><Relationship Id="rId235" Type="http://schemas.openxmlformats.org/officeDocument/2006/relationships/hyperlink" Target="https://participation-6o4.pages.dev/research/report.md" TargetMode="External"/><Relationship Id="rId97" Type="http://schemas.openxmlformats.org/officeDocument/2006/relationships/hyperlink" Target="https://participation-6o4.pages.dev/resurrection-and-beatitude/" TargetMode="External"/><Relationship Id="rId159" Type="http://schemas.openxmlformats.org/officeDocument/2006/relationships/hyperlink" Target="https://participation-6o4.pages.dev/resurrection-and-beatitude/#qa-resurrection-all-in-all" TargetMode="External"/><Relationship Id="rId157" Type="http://schemas.openxmlformats.org/officeDocument/2006/relationships/hyperlink" Target="https://participation-6o4.pages.dev/resurrection-and-beatitude/#qa-resurrection-same-person" TargetMode="External"/><Relationship Id="rId158" Type="http://schemas.openxmlformats.org/officeDocument/2006/relationships/hyperlink" Target="https://participation-6o4.pages.dev/resurrection-and-beatitude/#qa-resurrection-vision" TargetMode="External"/><Relationship Id="rId86" Type="http://schemas.openxmlformats.org/officeDocument/2006/relationships/hyperlink" Target="https://participation-6o4.pages.dev/trinity/" TargetMode="External"/><Relationship Id="rId134" Type="http://schemas.openxmlformats.org/officeDocument/2006/relationships/hyperlink" Target="https://participation-6o4.pages.dev/trinity/#qa-trinity-one-and-three" TargetMode="External"/><Relationship Id="rId136" Type="http://schemas.openxmlformats.org/officeDocument/2006/relationships/hyperlink" Target="https://participation-6o4.pages.dev/trinity/#qa-trinity-prayer-and-persons" TargetMode="External"/><Relationship Id="rId135" Type="http://schemas.openxmlformats.org/officeDocument/2006/relationships/hyperlink" Target="https://participation-6o4.pages.dev/trinity/#qa-trinity-son-from-father" TargetMode="External"/><Relationship Id="rId292" Type="http://schemas.openxmlformats.org/officeDocument/2006/relationships/hyperlink" Target="https://plato.stanford.edu/entries/analogy-medieval/" TargetMode="External"/><Relationship Id="rId375" Type="http://schemas.openxmlformats.org/officeDocument/2006/relationships/hyperlink" Target="https://plato.stanford.edu/entries/anselm/" TargetMode="External"/><Relationship Id="rId376" Type="http://schemas.openxmlformats.org/officeDocument/2006/relationships/hyperlink" Target="https://plato.stanford.edu/entries/bonaventure/" TargetMode="External"/><Relationship Id="rId393" Type="http://schemas.openxmlformats.org/officeDocument/2006/relationships/hyperlink" Target="https://plato.stanford.edu/entries/duns-scotus/" TargetMode="External"/><Relationship Id="rId290" Type="http://schemas.openxmlformats.org/officeDocument/2006/relationships/hyperlink" Target="https://plato.stanford.edu/entries/henry-ghent/" TargetMode="External"/><Relationship Id="rId288" Type="http://schemas.openxmlformats.org/officeDocument/2006/relationships/hyperlink" Target="https://plato.stanford.edu/entries/pseudo-dionysius-areopagite/" TargetMode="External"/><Relationship Id="rId362" Type="http://schemas.openxmlformats.org/officeDocument/2006/relationships/hyperlink" Target="https://plato.stanford.edu/entries/scottus-eriugena/" TargetMode="External"/><Relationship Id="rId280" Type="http://schemas.openxmlformats.org/officeDocument/2006/relationships/hyperlink" Target="https://raw.githubusercontent.com/GITenberg/An-Essay-on-the-Development-of-Christian-Doctrine_35110/master/35110-0.txt" TargetMode="External"/><Relationship Id="rId379" Type="http://schemas.openxmlformats.org/officeDocument/2006/relationships/hyperlink" Target="https://raw.githubusercontent.com/GITenberg/An-Essay-on-the-Development-of-Christian-Doctrine_35110/master/35110.txt" TargetMode="External"/><Relationship Id="rId272" Type="http://schemas.openxmlformats.org/officeDocument/2006/relationships/hyperlink" Target="https://raw.githubusercontent.com/GITenberg/Parmenides_1687/master/1687.txt" TargetMode="External"/><Relationship Id="rId264" Type="http://schemas.openxmlformats.org/officeDocument/2006/relationships/hyperlink" Target="https://raw.githubusercontent.com/GITenberg/Plotinos--Complete-Works-v.-1In-Chronological-Order-Grouped-in-Four-Periods_42930/master/42930-h/42930-h.htm" TargetMode="External"/><Relationship Id="rId282" Type="http://schemas.openxmlformats.org/officeDocument/2006/relationships/hyperlink" Target="https://raw.githubusercontent.com/GITenberg/St-John-Damascene-on-Holy-Images-0x3c00x3c10x3bf0x3c2-0x3c40x3bf0x3c50x3c2-0x3b40x3b90x3b10x3__49917/master/49917-8.txt" TargetMode="External"/><Relationship Id="rId278" Type="http://schemas.openxmlformats.org/officeDocument/2006/relationships/hyperlink" Target="https://raw.githubusercontent.com/GITenberg/Summa-Theologica-Part-I--Prima-Pars-From-the-Complete-American-Edition_17611/master/17611.txt" TargetMode="External"/><Relationship Id="rId274" Type="http://schemas.openxmlformats.org/officeDocument/2006/relationships/hyperlink" Target="https://raw.githubusercontent.com/GITenberg/The-City-of-God-Volume-I_45304/master/45304-h/45304-h.htm" TargetMode="External"/><Relationship Id="rId262" Type="http://schemas.openxmlformats.org/officeDocument/2006/relationships/hyperlink" Target="https://raw.githubusercontent.com/PerseusDL/canonical-greekLit/master/data/tlg0086/tlg025/tlg0086.tlg025.perseus-eng2.xml" TargetMode="External"/><Relationship Id="rId268" Type="http://schemas.openxmlformats.org/officeDocument/2006/relationships/hyperlink" Target="https://raw.githubusercontent.com/calfa-co/Patrologia-Graeca/5895ab908dd4cac5ee06cfc0e36f2ef77723e143/PG003/PG003_text.txt" TargetMode="External"/><Relationship Id="rId357" Type="http://schemas.openxmlformats.org/officeDocument/2006/relationships/hyperlink" Target="https://raw.githubusercontent.com/calfa-co/Patrologia-Graeca/5895ab908dd4cac5ee06cfc0e36f2ef77723e143/README.md" TargetMode="External"/><Relationship Id="rId284" Type="http://schemas.openxmlformats.org/officeDocument/2006/relationships/hyperlink" Target="https://raw.githubusercontent.com/md-mq/philo2vec/0d2351d43723f0d4a1fa662557626adb31a822ad/data/data.zip" TargetMode="External"/><Relationship Id="rId356" Type="http://schemas.openxmlformats.org/officeDocument/2006/relationships/hyperlink" Target="https://raw.githubusercontent.com/md-mq/philo2vec/master/README.md" TargetMode="External"/><Relationship Id="rId270" Type="http://schemas.openxmlformats.org/officeDocument/2006/relationships/hyperlink" Target="https://raw.githubusercontent.com/robertvsiii/maximus-confessor/5ef8d8b33bb7e16576f4b5445db7ee07541aff9f/texts/maximus/maximus_confessor.ambigua_iohannem.tess" TargetMode="External"/><Relationship Id="rId266" Type="http://schemas.openxmlformats.org/officeDocument/2006/relationships/hyperlink" Target="https://raw.githubusercontent.com/standardebooks/gregory-of-nyssa_on-the-making-of-man_william-moore_henry-austin-wilson/master/src/epub/text/chapter-16.xhtml" TargetMode="External"/><Relationship Id="rId296" Type="http://schemas.openxmlformats.org/officeDocument/2006/relationships/hyperlink" Target="https://robertdryer.pages.dev/divine-simplicity/dionysius/" TargetMode="External"/><Relationship Id="rId297" Type="http://schemas.openxmlformats.org/officeDocument/2006/relationships/hyperlink" Target="https://robertdryer.pages.dev/divine-simplicity/questions/one-universal-underived-source/" TargetMode="External"/><Relationship Id="rId162" Type="http://schemas.openxmlformats.org/officeDocument/2006/relationships/hyperlink" Target="https://robertdryer.pages.dev/projects/#faith-and-understanding" TargetMode="External"/><Relationship Id="rId68" Type="http://schemas.openxmlformats.org/officeDocument/2006/relationships/hyperlink" Target="https://robertdryer.pages.dev/search/" TargetMode="External"/><Relationship Id="rId299" Type="http://schemas.openxmlformats.org/officeDocument/2006/relationships/hyperlink" Target="https://robertdryer.pages.dev/writing/what-participation-means/" TargetMode="External"/><Relationship Id="rId300" Type="http://schemas.openxmlformats.org/officeDocument/2006/relationships/hyperlink" Target="https://robertdryer.pages.dev/writing/why-distinctions-matter/" TargetMode="External"/><Relationship Id="rId359" Type="http://schemas.openxmlformats.org/officeDocument/2006/relationships/hyperlink" Target="https://www.ccel.org/ccel/rolt/dionysius.html" TargetMode="External"/><Relationship Id="rId395" Type="http://schemas.openxmlformats.org/officeDocument/2006/relationships/hyperlink" Target="https://www.eerdmans.com/9780802868596/analogia-entis/" TargetMode="External"/><Relationship Id="rId286" Type="http://schemas.openxmlformats.org/officeDocument/2006/relationships/hyperlink" Target="https://www.newadvent.org/fathers/" TargetMode="External"/><Relationship Id="rId366" Type="http://schemas.openxmlformats.org/officeDocument/2006/relationships/hyperlink" Target="https://www.newadvent.org/fathers/33041.htm" TargetMode="External"/><Relationship Id="rId383" Type="http://schemas.openxmlformats.org/officeDocument/2006/relationships/hyperlink" Target="https://www.newadvent.org/summa/1003.htm" TargetMode="External"/><Relationship Id="rId384" Type="http://schemas.openxmlformats.org/officeDocument/2006/relationships/hyperlink" Target="https://www.newadvent.org/summa/1004.htm" TargetMode="External"/><Relationship Id="rId385" Type="http://schemas.openxmlformats.org/officeDocument/2006/relationships/hyperlink" Target="https://www.newadvent.org/summa/1007.htm" TargetMode="External"/><Relationship Id="rId386" Type="http://schemas.openxmlformats.org/officeDocument/2006/relationships/hyperlink" Target="https://www.newadvent.org/summa/1008.htm" TargetMode="External"/><Relationship Id="rId388" Type="http://schemas.openxmlformats.org/officeDocument/2006/relationships/hyperlink" Target="https://www.newadvent.org/summa/1013.htm" TargetMode="External"/><Relationship Id="rId387" Type="http://schemas.openxmlformats.org/officeDocument/2006/relationships/hyperlink" Target="https://www.newadvent.org/summa/1015.htm" TargetMode="External"/><Relationship Id="rId391" Type="http://schemas.openxmlformats.org/officeDocument/2006/relationships/hyperlink" Target="https://www.newadvent.org/summa/1019.htm" TargetMode="External"/><Relationship Id="rId382" Type="http://schemas.openxmlformats.org/officeDocument/2006/relationships/hyperlink" Target="https://www.newadvent.org/summa/1044.htm" TargetMode="External"/><Relationship Id="rId389" Type="http://schemas.openxmlformats.org/officeDocument/2006/relationships/hyperlink" Target="https://www.newadvent.org/summa/1045.htm" TargetMode="External"/><Relationship Id="rId390" Type="http://schemas.openxmlformats.org/officeDocument/2006/relationships/hyperlink" Target="https://www.newadvent.org/summa/1105.htm" TargetMode="External"/><Relationship Id="rId380" Type="http://schemas.openxmlformats.org/officeDocument/2006/relationships/hyperlink" Target="https://www.newmanreader.org/works/development/chapter5.html" TargetMode="External"/><Relationship Id="rId9" Type="http://schemas.openxmlformats.org/officeDocument/2006/relationships/header" Target="header1.xml"/><Relationship Id="rId10" Type="http://schemas.openxmlformats.org/officeDocument/2006/relationships/footer" Target="footer1.xml"/></Relationships>
</file>

<file path=word/_rels/footnotes.xml.rels><?xml version='1.0' encoding='UTF-8' standalone='yes'?>
<Relationships xmlns="http://schemas.openxmlformats.org/package/2006/relationships"><Relationship Id="rId276" Type="http://schemas.openxmlformats.org/officeDocument/2006/relationships/hyperlink" Target="https://github.com/latin-ocr/monologiumetpro00ansegoog" TargetMode="External"/><Relationship Id="rId370" Type="http://schemas.openxmlformats.org/officeDocument/2006/relationships/hyperlink" Target="https://github.com/neoenanos/itinerario-de-la-mente-a-dios-Buenaventura/blob/main/md/BUENAVENTURA%20-%20Itinerario%20de%20la%20mente%20a%20Dios.md" TargetMode="External"/><Relationship Id="rId364" Type="http://schemas.openxmlformats.org/officeDocument/2006/relationships/hyperlink" Target="https://jasper-hopkins.info/" TargetMode="External"/><Relationship Id="rId72" Type="http://schemas.openxmlformats.org/officeDocument/2006/relationships/hyperlink" Target="https://participation-6o4.pages.dev/" TargetMode="External"/><Relationship Id="rId244" Type="http://schemas.openxmlformats.org/officeDocument/2006/relationships/hyperlink" Target="https://participation-6o4.pages.dev/#basis" TargetMode="External"/><Relationship Id="rId245" Type="http://schemas.openxmlformats.org/officeDocument/2006/relationships/hyperlink" Target="https://participation-6o4.pages.dev/#derivations" TargetMode="External"/><Relationship Id="rId252" Type="http://schemas.openxmlformats.org/officeDocument/2006/relationships/hyperlink" Target="https://participation-6o4.pages.dev/#history" TargetMode="External"/><Relationship Id="rId163" Type="http://schemas.openxmlformats.org/officeDocument/2006/relationships/hyperlink" Target="https://participation-6o4.pages.dev/#introduction" TargetMode="External"/><Relationship Id="rId259" Type="http://schemas.openxmlformats.org/officeDocument/2006/relationships/hyperlink" Target="https://participation-6o4.pages.dev/#laboratory" TargetMode="External"/><Relationship Id="rId101" Type="http://schemas.openxmlformats.org/officeDocument/2006/relationships/hyperlink" Target="https://participation-6o4.pages.dev/#participation" TargetMode="External"/><Relationship Id="rId110" Type="http://schemas.openxmlformats.org/officeDocument/2006/relationships/hyperlink" Target="https://participation-6o4.pages.dev/#qa-causation-and-likeness" TargetMode="External"/><Relationship Id="rId109" Type="http://schemas.openxmlformats.org/officeDocument/2006/relationships/hyperlink" Target="https://participation-6o4.pages.dev/#qa-from-without-partition" TargetMode="External"/><Relationship Id="rId111" Type="http://schemas.openxmlformats.org/officeDocument/2006/relationships/hyperlink" Target="https://participation-6o4.pages.dev/#qa-likeness-and-otherness" TargetMode="External"/><Relationship Id="rId73" Type="http://schemas.openxmlformats.org/officeDocument/2006/relationships/hyperlink" Target="https://participation-6o4.pages.dev/beyond-participation/" TargetMode="External"/><Relationship Id="rId114" Type="http://schemas.openxmlformats.org/officeDocument/2006/relationships/hyperlink" Target="https://participation-6o4.pages.dev/beyond-participation/#qa-contingency-and-agency" TargetMode="External"/><Relationship Id="rId113" Type="http://schemas.openxmlformats.org/officeDocument/2006/relationships/hyperlink" Target="https://participation-6o4.pages.dev/beyond-participation/#qa-fullness-and-contingency" TargetMode="External"/><Relationship Id="rId112" Type="http://schemas.openxmlformats.org/officeDocument/2006/relationships/hyperlink" Target="https://participation-6o4.pages.dev/beyond-participation/#qa-underivation-and-simplicity" TargetMode="External"/><Relationship Id="rId93" Type="http://schemas.openxmlformats.org/officeDocument/2006/relationships/hyperlink" Target="https://participation-6o4.pages.dev/church-and-sacrament/" TargetMode="External"/><Relationship Id="rId151" Type="http://schemas.openxmlformats.org/officeDocument/2006/relationships/hyperlink" Target="https://participation-6o4.pages.dev/church-and-sacrament/#qa-church-eucharist-evidence" TargetMode="External"/><Relationship Id="rId150" Type="http://schemas.openxmlformats.org/officeDocument/2006/relationships/hyperlink" Target="https://participation-6o4.pages.dev/church-and-sacrament/#qa-church-sacraments-magic" TargetMode="External"/><Relationship Id="rId149" Type="http://schemas.openxmlformats.org/officeDocument/2006/relationships/hyperlink" Target="https://participation-6o4.pages.dev/church-and-sacrament/#qa-church-why-mediation" TargetMode="External"/><Relationship Id="rId67" Type="http://schemas.openxmlformats.org/officeDocument/2006/relationships/hyperlink" Target="https://participation-6o4.pages.dev/glossary/" TargetMode="External"/><Relationship Id="rId54" Type="http://schemas.openxmlformats.org/officeDocument/2006/relationships/hyperlink" Target="https://participation-6o4.pages.dev/glossary/#term-absolute-idealism" TargetMode="External"/><Relationship Id="rId22" Type="http://schemas.openxmlformats.org/officeDocument/2006/relationships/hyperlink" Target="https://participation-6o4.pages.dev/glossary/#term-actuality" TargetMode="External"/><Relationship Id="rId115" Type="http://schemas.openxmlformats.org/officeDocument/2006/relationships/hyperlink" Target="https://participation-6o4.pages.dev/glossary/#term-agency" TargetMode="External"/><Relationship Id="rId55" Type="http://schemas.openxmlformats.org/officeDocument/2006/relationships/hyperlink" Target="https://participation-6o4.pages.dev/glossary/#term-analogia-entis" TargetMode="External"/><Relationship Id="rId124" Type="http://schemas.openxmlformats.org/officeDocument/2006/relationships/hyperlink" Target="https://participation-6o4.pages.dev/glossary/#term-analogy" TargetMode="External"/><Relationship Id="rId107" Type="http://schemas.openxmlformats.org/officeDocument/2006/relationships/hyperlink" Target="https://participation-6o4.pages.dev/glossary/#term-attestative-scope" TargetMode="External"/><Relationship Id="rId181" Type="http://schemas.openxmlformats.org/officeDocument/2006/relationships/hyperlink" Target="https://participation-6o4.pages.dev/glossary/#term-beatific-vision" TargetMode="External"/><Relationship Id="rId51" Type="http://schemas.openxmlformats.org/officeDocument/2006/relationships/hyperlink" Target="https://participation-6o4.pages.dev/glossary/#term-bridge-principle" TargetMode="External"/><Relationship Id="rId32" Type="http://schemas.openxmlformats.org/officeDocument/2006/relationships/hyperlink" Target="https://participation-6o4.pages.dev/glossary/#term-causal-adequacy" TargetMode="External"/><Relationship Id="rId39" Type="http://schemas.openxmlformats.org/officeDocument/2006/relationships/hyperlink" Target="https://participation-6o4.pages.dev/glossary/#term-causal-precontainment" TargetMode="External"/><Relationship Id="rId36" Type="http://schemas.openxmlformats.org/officeDocument/2006/relationships/hyperlink" Target="https://participation-6o4.pages.dev/glossary/#term-common-genus" TargetMode="External"/><Relationship Id="rId21" Type="http://schemas.openxmlformats.org/officeDocument/2006/relationships/hyperlink" Target="https://participation-6o4.pages.dev/glossary/#term-communion" TargetMode="External"/><Relationship Id="rId166" Type="http://schemas.openxmlformats.org/officeDocument/2006/relationships/hyperlink" Target="https://participation-6o4.pages.dev/glossary/#term-composition" TargetMode="External"/><Relationship Id="rId182" Type="http://schemas.openxmlformats.org/officeDocument/2006/relationships/hyperlink" Target="https://participation-6o4.pages.dev/glossary/#term-comprehension" TargetMode="External"/><Relationship Id="rId27" Type="http://schemas.openxmlformats.org/officeDocument/2006/relationships/hyperlink" Target="https://participation-6o4.pages.dev/glossary/#term-constitution" TargetMode="External"/><Relationship Id="rId52" Type="http://schemas.openxmlformats.org/officeDocument/2006/relationships/hyperlink" Target="https://participation-6o4.pages.dev/glossary/#term-countermodel-deletion" TargetMode="External"/><Relationship Id="rId56" Type="http://schemas.openxmlformats.org/officeDocument/2006/relationships/hyperlink" Target="https://participation-6o4.pages.dev/glossary/#term-creation-ex-nihilo" TargetMode="External"/><Relationship Id="rId57" Type="http://schemas.openxmlformats.org/officeDocument/2006/relationships/hyperlink" Target="https://participation-6o4.pages.dev/glossary/#term-deism" TargetMode="External"/><Relationship Id="rId119" Type="http://schemas.openxmlformats.org/officeDocument/2006/relationships/hyperlink" Target="https://participation-6o4.pages.dev/glossary/#term-determination" TargetMode="External"/><Relationship Id="rId20" Type="http://schemas.openxmlformats.org/officeDocument/2006/relationships/hyperlink" Target="https://participation-6o4.pages.dev/glossary/#term-disclosure" TargetMode="External"/><Relationship Id="rId167" Type="http://schemas.openxmlformats.org/officeDocument/2006/relationships/hyperlink" Target="https://participation-6o4.pages.dev/glossary/#term-divine-simplicity" TargetMode="External"/><Relationship Id="rId41" Type="http://schemas.openxmlformats.org/officeDocument/2006/relationships/hyperlink" Target="https://participation-6o4.pages.dev/glossary/#term-epektasis" TargetMode="External"/><Relationship Id="rId174" Type="http://schemas.openxmlformats.org/officeDocument/2006/relationships/hyperlink" Target="https://participation-6o4.pages.dev/glossary/#term-epistemic-warrant" TargetMode="External"/><Relationship Id="rId59" Type="http://schemas.openxmlformats.org/officeDocument/2006/relationships/hyperlink" Target="https://participation-6o4.pages.dev/glossary/#term-essence-energies-distinction" TargetMode="External"/><Relationship Id="rId58" Type="http://schemas.openxmlformats.org/officeDocument/2006/relationships/hyperlink" Target="https://participation-6o4.pages.dev/glossary/#term-essence-existence" TargetMode="External"/><Relationship Id="rId37" Type="http://schemas.openxmlformats.org/officeDocument/2006/relationships/hyperlink" Target="https://participation-6o4.pages.dev/glossary/#term-exemplarism" TargetMode="External"/><Relationship Id="rId129" Type="http://schemas.openxmlformats.org/officeDocument/2006/relationships/hyperlink" Target="https://participation-6o4.pages.dev/glossary/#term-finality" TargetMode="External"/><Relationship Id="rId60" Type="http://schemas.openxmlformats.org/officeDocument/2006/relationships/hyperlink" Target="https://participation-6o4.pages.dev/glossary/#term-formal-distinction" TargetMode="External"/><Relationship Id="rId70" Type="http://schemas.openxmlformats.org/officeDocument/2006/relationships/hyperlink" Target="https://participation-6o4.pages.dev/glossary/#term-fulfillment" TargetMode="External"/><Relationship Id="rId143" Type="http://schemas.openxmlformats.org/officeDocument/2006/relationships/hyperlink" Target="https://participation-6o4.pages.dev/glossary/#term-grace" TargetMode="External"/><Relationship Id="rId25" Type="http://schemas.openxmlformats.org/officeDocument/2006/relationships/hyperlink" Target="https://participation-6o4.pages.dev/glossary/#term-grounding" TargetMode="External"/><Relationship Id="rId195" Type="http://schemas.openxmlformats.org/officeDocument/2006/relationships/hyperlink" Target="https://participation-6o4.pages.dev/glossary/#term-intrinsic-actuality" TargetMode="External"/><Relationship Id="rId49" Type="http://schemas.openxmlformats.org/officeDocument/2006/relationships/hyperlink" Target="https://participation-6o4.pages.dev/glossary/#term-intrinsic-invariance" TargetMode="External"/><Relationship Id="rId179" Type="http://schemas.openxmlformats.org/officeDocument/2006/relationships/hyperlink" Target="https://participation-6o4.pages.dev/glossary/#term-justification" TargetMode="External"/><Relationship Id="rId148" Type="http://schemas.openxmlformats.org/officeDocument/2006/relationships/hyperlink" Target="https://participation-6o4.pages.dev/glossary/#term-liturgy" TargetMode="External"/><Relationship Id="rId38" Type="http://schemas.openxmlformats.org/officeDocument/2006/relationships/hyperlink" Target="https://participation-6o4.pages.dev/glossary/#term-logoi-rationes" TargetMode="External"/><Relationship Id="rId123" Type="http://schemas.openxmlformats.org/officeDocument/2006/relationships/hyperlink" Target="https://participation-6o4.pages.dev/glossary/#term-manifestation" TargetMode="External"/><Relationship Id="rId31" Type="http://schemas.openxmlformats.org/officeDocument/2006/relationships/hyperlink" Target="https://participation-6o4.pages.dev/glossary/#term-measure-mode" TargetMode="External"/><Relationship Id="rId61" Type="http://schemas.openxmlformats.org/officeDocument/2006/relationships/hyperlink" Target="https://participation-6o4.pages.dev/glossary/#term-mixed-relations" TargetMode="External"/><Relationship Id="rId48" Type="http://schemas.openxmlformats.org/officeDocument/2006/relationships/hyperlink" Target="https://participation-6o4.pages.dev/glossary/#term-modal-collapse" TargetMode="External"/><Relationship Id="rId47" Type="http://schemas.openxmlformats.org/officeDocument/2006/relationships/hyperlink" Target="https://participation-6o4.pages.dev/glossary/#term-modality" TargetMode="External"/><Relationship Id="rId46" Type="http://schemas.openxmlformats.org/officeDocument/2006/relationships/hyperlink" Target="https://participation-6o4.pages.dev/glossary/#term-necessary-emanation" TargetMode="External"/><Relationship Id="rId44" Type="http://schemas.openxmlformats.org/officeDocument/2006/relationships/hyperlink" Target="https://participation-6o4.pages.dev/glossary/#term-noncompetitive-causality" TargetMode="External"/><Relationship Id="rId35" Type="http://schemas.openxmlformats.org/officeDocument/2006/relationships/hyperlink" Target="https://participation-6o4.pages.dev/glossary/#term-nonexhaustion" TargetMode="External"/><Relationship Id="rId34" Type="http://schemas.openxmlformats.org/officeDocument/2006/relationships/hyperlink" Target="https://participation-6o4.pages.dev/glossary/#term-nonpartition" TargetMode="External"/><Relationship Id="rId45" Type="http://schemas.openxmlformats.org/officeDocument/2006/relationships/hyperlink" Target="https://participation-6o4.pages.dev/glossary/#term-occasionalism" TargetMode="External"/><Relationship Id="rId24" Type="http://schemas.openxmlformats.org/officeDocument/2006/relationships/hyperlink" Target="https://participation-6o4.pages.dev/glossary/#term-ontological-dependence" TargetMode="External"/><Relationship Id="rId165" Type="http://schemas.openxmlformats.org/officeDocument/2006/relationships/hyperlink" Target="https://participation-6o4.pages.dev/glossary/#term-ontology-and-metaphysics" TargetMode="External"/><Relationship Id="rId62" Type="http://schemas.openxmlformats.org/officeDocument/2006/relationships/hyperlink" Target="https://participation-6o4.pages.dev/glossary/#term-panentheism" TargetMode="External"/><Relationship Id="rId63" Type="http://schemas.openxmlformats.org/officeDocument/2006/relationships/hyperlink" Target="https://participation-6o4.pages.dev/glossary/#term-pantheism" TargetMode="External"/><Relationship Id="rId29" Type="http://schemas.openxmlformats.org/officeDocument/2006/relationships/hyperlink" Target="https://participation-6o4.pages.dev/glossary/#term-participation" TargetMode="External"/><Relationship Id="rId64" Type="http://schemas.openxmlformats.org/officeDocument/2006/relationships/hyperlink" Target="https://participation-6o4.pages.dev/glossary/#term-platonism" TargetMode="External"/><Relationship Id="rId50" Type="http://schemas.openxmlformats.org/officeDocument/2006/relationships/hyperlink" Target="https://participation-6o4.pages.dev/glossary/#term-primitive" TargetMode="External"/><Relationship Id="rId178" Type="http://schemas.openxmlformats.org/officeDocument/2006/relationships/hyperlink" Target="https://participation-6o4.pages.dev/glossary/#term-privation" TargetMode="External"/><Relationship Id="rId42" Type="http://schemas.openxmlformats.org/officeDocument/2006/relationships/hyperlink" Target="https://participation-6o4.pages.dev/glossary/#term-procession-return" TargetMode="External"/><Relationship Id="rId23" Type="http://schemas.openxmlformats.org/officeDocument/2006/relationships/hyperlink" Target="https://participation-6o4.pages.dev/glossary/#term-productive-causation" TargetMode="External"/><Relationship Id="rId152" Type="http://schemas.openxmlformats.org/officeDocument/2006/relationships/hyperlink" Target="https://participation-6o4.pages.dev/glossary/#term-providence" TargetMode="External"/><Relationship Id="rId33" Type="http://schemas.openxmlformats.org/officeDocument/2006/relationships/hyperlink" Target="https://participation-6o4.pages.dev/glossary/#term-pure-perfection" TargetMode="External"/><Relationship Id="rId26" Type="http://schemas.openxmlformats.org/officeDocument/2006/relationships/hyperlink" Target="https://participation-6o4.pages.dev/glossary/#term-realization" TargetMode="External"/><Relationship Id="rId28" Type="http://schemas.openxmlformats.org/officeDocument/2006/relationships/hyperlink" Target="https://participation-6o4.pages.dev/glossary/#term-reception" TargetMode="External"/><Relationship Id="rId156" Type="http://schemas.openxmlformats.org/officeDocument/2006/relationships/hyperlink" Target="https://participation-6o4.pages.dev/glossary/#term-resurrection" TargetMode="External"/><Relationship Id="rId125" Type="http://schemas.openxmlformats.org/officeDocument/2006/relationships/hyperlink" Target="https://participation-6o4.pages.dev/glossary/#term-revelation" TargetMode="External"/><Relationship Id="rId147" Type="http://schemas.openxmlformats.org/officeDocument/2006/relationships/hyperlink" Target="https://participation-6o4.pages.dev/glossary/#term-sacrament" TargetMode="External"/><Relationship Id="rId43" Type="http://schemas.openxmlformats.org/officeDocument/2006/relationships/hyperlink" Target="https://participation-6o4.pages.dev/glossary/#term-secondary-causality" TargetMode="External"/><Relationship Id="rId40" Type="http://schemas.openxmlformats.org/officeDocument/2006/relationships/hyperlink" Target="https://participation-6o4.pages.dev/glossary/#term-theophany" TargetMode="External"/><Relationship Id="rId133" Type="http://schemas.openxmlformats.org/officeDocument/2006/relationships/hyperlink" Target="https://participation-6o4.pages.dev/glossary/#term-trinity" TargetMode="External"/><Relationship Id="rId30" Type="http://schemas.openxmlformats.org/officeDocument/2006/relationships/hyperlink" Target="https://participation-6o4.pages.dev/glossary/#term-underivation" TargetMode="External"/><Relationship Id="rId53" Type="http://schemas.openxmlformats.org/officeDocument/2006/relationships/hyperlink" Target="https://participation-6o4.pages.dev/glossary/#term-unity" TargetMode="External"/><Relationship Id="rId65" Type="http://schemas.openxmlformats.org/officeDocument/2006/relationships/hyperlink" Target="https://participation-6o4.pages.dev/glossary/#term-univocity" TargetMode="External"/><Relationship Id="rId66" Type="http://schemas.openxmlformats.org/officeDocument/2006/relationships/hyperlink" Target="https://participation-6o4.pages.dev/glossary/#term-vestige-image-and-similitude" TargetMode="External"/><Relationship Id="rId82" Type="http://schemas.openxmlformats.org/officeDocument/2006/relationships/hyperlink" Target="https://participation-6o4.pages.dev/goodness-and-fulfillment/" TargetMode="External"/><Relationship Id="rId130" Type="http://schemas.openxmlformats.org/officeDocument/2006/relationships/hyperlink" Target="https://participation-6o4.pages.dev/goodness-and-fulfillment/#qa-goodness-finite-defect" TargetMode="External"/><Relationship Id="rId132" Type="http://schemas.openxmlformats.org/officeDocument/2006/relationships/hyperlink" Target="https://participation-6o4.pages.dev/goodness-and-fulfillment/#qa-goodness-return" TargetMode="External"/><Relationship Id="rId131" Type="http://schemas.openxmlformats.org/officeDocument/2006/relationships/hyperlink" Target="https://participation-6o4.pages.dev/goodness-and-fulfillment/#qa-goodness-suffering" TargetMode="External"/><Relationship Id="rId91" Type="http://schemas.openxmlformats.org/officeDocument/2006/relationships/hyperlink" Target="https://participation-6o4.pages.dev/grace-and-prayer/" TargetMode="External"/><Relationship Id="rId144" Type="http://schemas.openxmlformats.org/officeDocument/2006/relationships/hyperlink" Target="https://participation-6o4.pages.dev/grace-and-prayer/#qa-grace-does-everything" TargetMode="External"/><Relationship Id="rId146" Type="http://schemas.openxmlformats.org/officeDocument/2006/relationships/hyperlink" Target="https://participation-6o4.pages.dev/grace-and-prayer/#qa-grace-feeling" TargetMode="External"/><Relationship Id="rId145" Type="http://schemas.openxmlformats.org/officeDocument/2006/relationships/hyperlink" Target="https://participation-6o4.pages.dev/grace-and-prayer/#qa-grace-rosary-mary" TargetMode="External"/><Relationship Id="rId103" Type="http://schemas.openxmlformats.org/officeDocument/2006/relationships/hyperlink" Target="https://participation-6o4.pages.dev/grace-and-prayer/#rosary" TargetMode="External"/><Relationship Id="rId89" Type="http://schemas.openxmlformats.org/officeDocument/2006/relationships/hyperlink" Target="https://participation-6o4.pages.dev/human-person/" TargetMode="External"/><Relationship Id="rId141" Type="http://schemas.openxmlformats.org/officeDocument/2006/relationships/hyperlink" Target="https://participation-6o4.pages.dev/human-person/#qa-human-person-dependent-agency" TargetMode="External"/><Relationship Id="rId142" Type="http://schemas.openxmlformats.org/officeDocument/2006/relationships/hyperlink" Target="https://participation-6o4.pages.dev/human-person/#qa-human-person-dignity" TargetMode="External"/><Relationship Id="rId140" Type="http://schemas.openxmlformats.org/officeDocument/2006/relationships/hyperlink" Target="https://participation-6o4.pages.dev/human-person/#qa-human-person-soul-body" TargetMode="External"/><Relationship Id="rId87" Type="http://schemas.openxmlformats.org/officeDocument/2006/relationships/hyperlink" Target="https://participation-6o4.pages.dev/incarnation/" TargetMode="External"/><Relationship Id="rId104" Type="http://schemas.openxmlformats.org/officeDocument/2006/relationships/hyperlink" Target="https://participation-6o4.pages.dev/incarnation/#mary-theotokos" TargetMode="External"/><Relationship Id="rId137" Type="http://schemas.openxmlformats.org/officeDocument/2006/relationships/hyperlink" Target="https://participation-6o4.pages.dev/incarnation/#qa-incarnation-god-suffers" TargetMode="External"/><Relationship Id="rId138" Type="http://schemas.openxmlformats.org/officeDocument/2006/relationships/hyperlink" Target="https://participation-6o4.pages.dev/incarnation/#qa-incarnation-human-agency" TargetMode="External"/><Relationship Id="rId139" Type="http://schemas.openxmlformats.org/officeDocument/2006/relationships/hyperlink" Target="https://participation-6o4.pages.dev/incarnation/#qa-incarnation-mother-of-god" TargetMode="External"/><Relationship Id="rId80" Type="http://schemas.openxmlformats.org/officeDocument/2006/relationships/hyperlink" Target="https://participation-6o4.pages.dev/manifestation-and-revelation/" TargetMode="External"/><Relationship Id="rId106" Type="http://schemas.openxmlformats.org/officeDocument/2006/relationships/hyperlink" Target="https://participation-6o4.pages.dev/manifestation-and-revelation/#miracle-testimony" TargetMode="External"/><Relationship Id="rId128" Type="http://schemas.openxmlformats.org/officeDocument/2006/relationships/hyperlink" Target="https://participation-6o4.pages.dev/manifestation-and-revelation/#qa-manifestation-analogy-knowledge" TargetMode="External"/><Relationship Id="rId127" Type="http://schemas.openxmlformats.org/officeDocument/2006/relationships/hyperlink" Target="https://participation-6o4.pages.dev/manifestation-and-revelation/#qa-manifestation-miracle-proof" TargetMode="External"/><Relationship Id="rId126" Type="http://schemas.openxmlformats.org/officeDocument/2006/relationships/hyperlink" Target="https://participation-6o4.pages.dev/manifestation-and-revelation/#qa-manifestation-revelation-resemblance" TargetMode="External"/><Relationship Id="rId95" Type="http://schemas.openxmlformats.org/officeDocument/2006/relationships/hyperlink" Target="https://participation-6o4.pages.dev/providence-and-evil/" TargetMode="External"/><Relationship Id="rId155" Type="http://schemas.openxmlformats.org/officeDocument/2006/relationships/hyperlink" Target="https://participation-6o4.pages.dev/providence-and-evil/#qa-providence-healing-and-evil" TargetMode="External"/><Relationship Id="rId154" Type="http://schemas.openxmlformats.org/officeDocument/2006/relationships/hyperlink" Target="https://participation-6o4.pages.dev/providence-and-evil/#qa-providence-prayer-change" TargetMode="External"/><Relationship Id="rId153" Type="http://schemas.openxmlformats.org/officeDocument/2006/relationships/hyperlink" Target="https://participation-6o4.pages.dev/providence-and-evil/#qa-providence-responsibility" TargetMode="External"/><Relationship Id="rId75" Type="http://schemas.openxmlformats.org/officeDocument/2006/relationships/hyperlink" Target="https://participation-6o4.pages.dev/real-difference/" TargetMode="External"/><Relationship Id="rId116" Type="http://schemas.openxmlformats.org/officeDocument/2006/relationships/hyperlink" Target="https://participation-6o4.pages.dev/real-difference/#qa-determinate-divine-intention" TargetMode="External"/><Relationship Id="rId117" Type="http://schemas.openxmlformats.org/officeDocument/2006/relationships/hyperlink" Target="https://participation-6o4.pages.dev/real-difference/#qa-knowing-actual-action" TargetMode="External"/><Relationship Id="rId118" Type="http://schemas.openxmlformats.org/officeDocument/2006/relationships/hyperlink" Target="https://participation-6o4.pages.dev/real-difference/#qa-why-finite-goods-matter" TargetMode="External"/><Relationship Id="rId79" Type="http://schemas.openxmlformats.org/officeDocument/2006/relationships/hyperlink" Target="https://participation-6o4.pages.dev/reality-and-relation/" TargetMode="External"/><Relationship Id="rId121" Type="http://schemas.openxmlformats.org/officeDocument/2006/relationships/hyperlink" Target="https://participation-6o4.pages.dev/reality-and-relation/#qa-reality-one-realizer" TargetMode="External"/><Relationship Id="rId122" Type="http://schemas.openxmlformats.org/officeDocument/2006/relationships/hyperlink" Target="https://participation-6o4.pages.dev/reality-and-relation/#qa-reality-participation-ownership" TargetMode="External"/><Relationship Id="rId120" Type="http://schemas.openxmlformats.org/officeDocument/2006/relationships/hyperlink" Target="https://participation-6o4.pages.dev/reality-and-relation/#qa-reality-real-difference" TargetMode="External"/><Relationship Id="rId223" Type="http://schemas.openxmlformats.org/officeDocument/2006/relationships/hyperlink" Target="https://participation-6o4.pages.dev/research/ancient-patristic.md" TargetMode="External"/><Relationship Id="rId226" Type="http://schemas.openxmlformats.org/officeDocument/2006/relationships/hyperlink" Target="https://participation-6o4.pages.dev/research/aquinas-scotus-newman.md" TargetMode="External"/><Relationship Id="rId161" Type="http://schemas.openxmlformats.org/officeDocument/2006/relationships/hyperlink" Target="https://participation-6o4.pages.dev/research/atlas/source-method.md" TargetMode="External"/><Relationship Id="rId224" Type="http://schemas.openxmlformats.org/officeDocument/2006/relationships/hyperlink" Target="https://participation-6o4.pages.dev/research/eastern-metaphysics.md" TargetMode="External"/><Relationship Id="rId236" Type="http://schemas.openxmlformats.org/officeDocument/2006/relationships/hyperlink" Target="https://participation-6o4.pages.dev/research/formal-architecture.md" TargetMode="External"/><Relationship Id="rId225" Type="http://schemas.openxmlformats.org/officeDocument/2006/relationships/hyperlink" Target="https://participation-6o4.pages.dev/research/latin-exemplarism.md" TargetMode="External"/><Relationship Id="rId184" Type="http://schemas.openxmlformats.org/officeDocument/2006/relationships/hyperlink" Target="https://participation-6o4.pages.dev/research/reading-guide.md" TargetMode="External"/><Relationship Id="rId235" Type="http://schemas.openxmlformats.org/officeDocument/2006/relationships/hyperlink" Target="https://participation-6o4.pages.dev/research/report.md" TargetMode="External"/><Relationship Id="rId97" Type="http://schemas.openxmlformats.org/officeDocument/2006/relationships/hyperlink" Target="https://participation-6o4.pages.dev/resurrection-and-beatitude/" TargetMode="External"/><Relationship Id="rId159" Type="http://schemas.openxmlformats.org/officeDocument/2006/relationships/hyperlink" Target="https://participation-6o4.pages.dev/resurrection-and-beatitude/#qa-resurrection-all-in-all" TargetMode="External"/><Relationship Id="rId157" Type="http://schemas.openxmlformats.org/officeDocument/2006/relationships/hyperlink" Target="https://participation-6o4.pages.dev/resurrection-and-beatitude/#qa-resurrection-same-person" TargetMode="External"/><Relationship Id="rId158" Type="http://schemas.openxmlformats.org/officeDocument/2006/relationships/hyperlink" Target="https://participation-6o4.pages.dev/resurrection-and-beatitude/#qa-resurrection-vision" TargetMode="External"/><Relationship Id="rId86" Type="http://schemas.openxmlformats.org/officeDocument/2006/relationships/hyperlink" Target="https://participation-6o4.pages.dev/trinity/" TargetMode="External"/><Relationship Id="rId134" Type="http://schemas.openxmlformats.org/officeDocument/2006/relationships/hyperlink" Target="https://participation-6o4.pages.dev/trinity/#qa-trinity-one-and-three" TargetMode="External"/><Relationship Id="rId136" Type="http://schemas.openxmlformats.org/officeDocument/2006/relationships/hyperlink" Target="https://participation-6o4.pages.dev/trinity/#qa-trinity-prayer-and-persons" TargetMode="External"/><Relationship Id="rId135" Type="http://schemas.openxmlformats.org/officeDocument/2006/relationships/hyperlink" Target="https://participation-6o4.pages.dev/trinity/#qa-trinity-son-from-father" TargetMode="External"/><Relationship Id="rId292" Type="http://schemas.openxmlformats.org/officeDocument/2006/relationships/hyperlink" Target="https://plato.stanford.edu/entries/analogy-medieval/" TargetMode="External"/><Relationship Id="rId375" Type="http://schemas.openxmlformats.org/officeDocument/2006/relationships/hyperlink" Target="https://plato.stanford.edu/entries/anselm/" TargetMode="External"/><Relationship Id="rId376" Type="http://schemas.openxmlformats.org/officeDocument/2006/relationships/hyperlink" Target="https://plato.stanford.edu/entries/bonaventure/" TargetMode="External"/><Relationship Id="rId393" Type="http://schemas.openxmlformats.org/officeDocument/2006/relationships/hyperlink" Target="https://plato.stanford.edu/entries/duns-scotus/" TargetMode="External"/><Relationship Id="rId290" Type="http://schemas.openxmlformats.org/officeDocument/2006/relationships/hyperlink" Target="https://plato.stanford.edu/entries/henry-ghent/" TargetMode="External"/><Relationship Id="rId288" Type="http://schemas.openxmlformats.org/officeDocument/2006/relationships/hyperlink" Target="https://plato.stanford.edu/entries/pseudo-dionysius-areopagite/" TargetMode="External"/><Relationship Id="rId362" Type="http://schemas.openxmlformats.org/officeDocument/2006/relationships/hyperlink" Target="https://plato.stanford.edu/entries/scottus-eriugena/" TargetMode="External"/><Relationship Id="rId280" Type="http://schemas.openxmlformats.org/officeDocument/2006/relationships/hyperlink" Target="https://raw.githubusercontent.com/GITenberg/An-Essay-on-the-Development-of-Christian-Doctrine_35110/master/35110-0.txt" TargetMode="External"/><Relationship Id="rId379" Type="http://schemas.openxmlformats.org/officeDocument/2006/relationships/hyperlink" Target="https://raw.githubusercontent.com/GITenberg/An-Essay-on-the-Development-of-Christian-Doctrine_35110/master/35110.txt" TargetMode="External"/><Relationship Id="rId272" Type="http://schemas.openxmlformats.org/officeDocument/2006/relationships/hyperlink" Target="https://raw.githubusercontent.com/GITenberg/Parmenides_1687/master/1687.txt" TargetMode="External"/><Relationship Id="rId264" Type="http://schemas.openxmlformats.org/officeDocument/2006/relationships/hyperlink" Target="https://raw.githubusercontent.com/GITenberg/Plotinos--Complete-Works-v.-1In-Chronological-Order-Grouped-in-Four-Periods_42930/master/42930-h/42930-h.htm" TargetMode="External"/><Relationship Id="rId282" Type="http://schemas.openxmlformats.org/officeDocument/2006/relationships/hyperlink" Target="https://raw.githubusercontent.com/GITenberg/St-John-Damascene-on-Holy-Images-0x3c00x3c10x3bf0x3c2-0x3c40x3bf0x3c50x3c2-0x3b40x3b90x3b10x3__49917/master/49917-8.txt" TargetMode="External"/><Relationship Id="rId278" Type="http://schemas.openxmlformats.org/officeDocument/2006/relationships/hyperlink" Target="https://raw.githubusercontent.com/GITenberg/Summa-Theologica-Part-I--Prima-Pars-From-the-Complete-American-Edition_17611/master/17611.txt" TargetMode="External"/><Relationship Id="rId274" Type="http://schemas.openxmlformats.org/officeDocument/2006/relationships/hyperlink" Target="https://raw.githubusercontent.com/GITenberg/The-City-of-God-Volume-I_45304/master/45304-h/45304-h.htm" TargetMode="External"/><Relationship Id="rId262" Type="http://schemas.openxmlformats.org/officeDocument/2006/relationships/hyperlink" Target="https://raw.githubusercontent.com/PerseusDL/canonical-greekLit/master/data/tlg0086/tlg025/tlg0086.tlg025.perseus-eng2.xml" TargetMode="External"/><Relationship Id="rId268" Type="http://schemas.openxmlformats.org/officeDocument/2006/relationships/hyperlink" Target="https://raw.githubusercontent.com/calfa-co/Patrologia-Graeca/5895ab908dd4cac5ee06cfc0e36f2ef77723e143/PG003/PG003_text.txt" TargetMode="External"/><Relationship Id="rId357" Type="http://schemas.openxmlformats.org/officeDocument/2006/relationships/hyperlink" Target="https://raw.githubusercontent.com/calfa-co/Patrologia-Graeca/5895ab908dd4cac5ee06cfc0e36f2ef77723e143/README.md" TargetMode="External"/><Relationship Id="rId284" Type="http://schemas.openxmlformats.org/officeDocument/2006/relationships/hyperlink" Target="https://raw.githubusercontent.com/md-mq/philo2vec/0d2351d43723f0d4a1fa662557626adb31a822ad/data/data.zip" TargetMode="External"/><Relationship Id="rId356" Type="http://schemas.openxmlformats.org/officeDocument/2006/relationships/hyperlink" Target="https://raw.githubusercontent.com/md-mq/philo2vec/master/README.md" TargetMode="External"/><Relationship Id="rId270" Type="http://schemas.openxmlformats.org/officeDocument/2006/relationships/hyperlink" Target="https://raw.githubusercontent.com/robertvsiii/maximus-confessor/5ef8d8b33bb7e16576f4b5445db7ee07541aff9f/texts/maximus/maximus_confessor.ambigua_iohannem.tess" TargetMode="External"/><Relationship Id="rId266" Type="http://schemas.openxmlformats.org/officeDocument/2006/relationships/hyperlink" Target="https://raw.githubusercontent.com/standardebooks/gregory-of-nyssa_on-the-making-of-man_william-moore_henry-austin-wilson/master/src/epub/text/chapter-16.xhtml" TargetMode="External"/><Relationship Id="rId296" Type="http://schemas.openxmlformats.org/officeDocument/2006/relationships/hyperlink" Target="https://robertdryer.pages.dev/divine-simplicity/dionysius/" TargetMode="External"/><Relationship Id="rId297" Type="http://schemas.openxmlformats.org/officeDocument/2006/relationships/hyperlink" Target="https://robertdryer.pages.dev/divine-simplicity/questions/one-universal-underived-source/" TargetMode="External"/><Relationship Id="rId162" Type="http://schemas.openxmlformats.org/officeDocument/2006/relationships/hyperlink" Target="https://robertdryer.pages.dev/projects/#faith-and-understanding" TargetMode="External"/><Relationship Id="rId68" Type="http://schemas.openxmlformats.org/officeDocument/2006/relationships/hyperlink" Target="https://robertdryer.pages.dev/search/" TargetMode="External"/><Relationship Id="rId299" Type="http://schemas.openxmlformats.org/officeDocument/2006/relationships/hyperlink" Target="https://robertdryer.pages.dev/writing/what-participation-means/" TargetMode="External"/><Relationship Id="rId300" Type="http://schemas.openxmlformats.org/officeDocument/2006/relationships/hyperlink" Target="https://robertdryer.pages.dev/writing/why-distinctions-matter/" TargetMode="External"/><Relationship Id="rId359" Type="http://schemas.openxmlformats.org/officeDocument/2006/relationships/hyperlink" Target="https://www.ccel.org/ccel/rolt/dionysius.html" TargetMode="External"/><Relationship Id="rId395" Type="http://schemas.openxmlformats.org/officeDocument/2006/relationships/hyperlink" Target="https://www.eerdmans.com/9780802868596/analogia-entis/" TargetMode="External"/><Relationship Id="rId286" Type="http://schemas.openxmlformats.org/officeDocument/2006/relationships/hyperlink" Target="https://www.newadvent.org/fathers/" TargetMode="External"/><Relationship Id="rId366" Type="http://schemas.openxmlformats.org/officeDocument/2006/relationships/hyperlink" Target="https://www.newadvent.org/fathers/33041.htm" TargetMode="External"/><Relationship Id="rId383" Type="http://schemas.openxmlformats.org/officeDocument/2006/relationships/hyperlink" Target="https://www.newadvent.org/summa/1003.htm" TargetMode="External"/><Relationship Id="rId384" Type="http://schemas.openxmlformats.org/officeDocument/2006/relationships/hyperlink" Target="https://www.newadvent.org/summa/1004.htm" TargetMode="External"/><Relationship Id="rId385" Type="http://schemas.openxmlformats.org/officeDocument/2006/relationships/hyperlink" Target="https://www.newadvent.org/summa/1007.htm" TargetMode="External"/><Relationship Id="rId386" Type="http://schemas.openxmlformats.org/officeDocument/2006/relationships/hyperlink" Target="https://www.newadvent.org/summa/1008.htm" TargetMode="External"/><Relationship Id="rId388" Type="http://schemas.openxmlformats.org/officeDocument/2006/relationships/hyperlink" Target="https://www.newadvent.org/summa/1013.htm" TargetMode="External"/><Relationship Id="rId387" Type="http://schemas.openxmlformats.org/officeDocument/2006/relationships/hyperlink" Target="https://www.newadvent.org/summa/1015.htm" TargetMode="External"/><Relationship Id="rId391" Type="http://schemas.openxmlformats.org/officeDocument/2006/relationships/hyperlink" Target="https://www.newadvent.org/summa/1019.htm" TargetMode="External"/><Relationship Id="rId382" Type="http://schemas.openxmlformats.org/officeDocument/2006/relationships/hyperlink" Target="https://www.newadvent.org/summa/1044.htm" TargetMode="External"/><Relationship Id="rId389" Type="http://schemas.openxmlformats.org/officeDocument/2006/relationships/hyperlink" Target="https://www.newadvent.org/summa/1045.htm" TargetMode="External"/><Relationship Id="rId390" Type="http://schemas.openxmlformats.org/officeDocument/2006/relationships/hyperlink" Target="https://www.newadvent.org/summa/1105.htm" TargetMode="External"/><Relationship Id="rId380" Type="http://schemas.openxmlformats.org/officeDocument/2006/relationships/hyperlink" Target="https://www.newmanreader.org/works/development/chapter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Participation: The Minimal Generative Grammar of Participation</dc:title>
  <dc:creator>Participation research atlas</dc:creator>
  <dc:language>en-US</dc:language>
  <cp:keywords>participation; divine agency; simplicity; free creation; complete backup</cp:keywords>
  <dcterms:created xsi:type="dcterms:W3CDTF">2026-10-17T19:55:40Z</dcterms:created>
  <dcterms:modified xsi:type="dcterms:W3CDTF">2026-10-17T19:55:40Z</dcterms:modified>
  <dc:subject>Complete backup of the website, interactive examples, and supporting research</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October 17, 2026</vt:lpwstr>
  </property>
  <property fmtid="{D5CDD505-2E9C-101B-9397-08002B2CF9AE}" pid="3" name="subtitle">
    <vt:lpwstr>The Minimal Generative Grammar of Participation | Complete website backup</vt:lpwstr>
  </property>
</Properties>
</file>