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Beyond Participation</w:t>
      </w:r>
    </w:p>
    <w:p>
      <w:pPr>
        <w:pStyle w:val="Subtitle"/>
      </w:pPr>
      <w:r>
        <w:t xml:space="preserve">Divine Simplicity and Freedom | Complete website backup</w:t>
      </w:r>
    </w:p>
    <w:p>
      <w:pPr>
        <w:pStyle w:val="Date"/>
      </w:pPr>
      <w:r>
        <w:t xml:space="preserve">October 17, 2026</w:t>
      </w:r>
    </w:p>
    <w:p>
      <w:pPr>
        <w:pStyle w:val="Heading1"/>
      </w:pPr>
      <w:r>
        <w:t xml:space="preserve">Contents</w:t>
      </w:r>
    </w:p>
    <w:p>
      <w:pPr>
        <w:pStyle w:val="FirstParagraph"/>
      </w:pPr>
      <w:r>
        <w:t xml:space="preserve">How to use this backup</w:t>
      </w:r>
    </w:p>
    <w:p>
      <w:pPr>
        <w:pStyle w:val="BodyText"/>
      </w:pPr>
      <w:r>
        <w:t xml:space="preserve">Website article</w:t>
      </w:r>
    </w:p>
    <w:p>
      <w:pPr>
        <w:pStyle w:val="BodyText"/>
      </w:pPr>
      <w:r>
        <w:t xml:space="preserve">Interactive material — complete static record</w:t>
      </w:r>
    </w:p>
    <w:p>
      <w:pPr>
        <w:pStyle w:val="BodyText"/>
      </w:pPr>
      <w:r>
        <w:t xml:space="preserve">Appendix A — beyond-report.md</w:t>
      </w:r>
    </w:p>
    <w:p>
      <w:pPr>
        <w:pStyle w:val="BodyText"/>
      </w:pPr>
      <w:r>
        <w:t xml:space="preserve">Appendix B — beyond-formal.md</w:t>
      </w:r>
    </w:p>
    <w:p>
      <w:pPr>
        <w:pStyle w:val="BodyText"/>
      </w:pPr>
      <w:r>
        <w:t xml:space="preserve">Appendix C — beyond-sources.md</w:t>
      </w:r>
    </w:p>
    <w:p>
      <w:pPr>
        <w:pStyle w:val="BodyText"/>
      </w:pPr>
      <w:r>
        <w:t xml:space="preserve">Appendix D — beyond-development.md</w:t>
      </w:r>
    </w:p>
    <w:p>
      <w:pPr>
        <w:pStyle w:val="BodyText"/>
      </w:pPr>
      <w:r>
        <w:t xml:space="preserve">Appendix E — reading-guide.md</w:t>
      </w:r>
    </w:p>
    <w:p>
      <w:pPr>
        <w:pStyle w:val="Heading1"/>
      </w:pPr>
      <w:r>
        <w:t xml:space="preserve">How to use this backup</w:t>
      </w:r>
    </w:p>
    <w:p>
      <w:pPr>
        <w:pStyle w:val="FirstParagraph"/>
      </w:pPr>
      <w:r>
        <w:t xml:space="preserve">This document preserves the complete readable website article, all substantive interactive examples, and its project research files. It uses the revised terminology about divine action and agency. The website’s historical consultation limits and conditional claims are retained throughout.</w:t>
      </w:r>
    </w:p>
    <w:p>
      <w:pPr>
        <w:pStyle w:val="BodyText"/>
      </w:pPr>
      <w:r>
        <w:t xml:space="preserve">Original page: https:/​/​participation-​6o4.​pages.​dev/​beyond-​participation/​</w:t>
      </w:r>
    </w:p>
    <w:p>
      <w:pPr>
        <w:pStyle w:val="BodyText"/>
      </w:pPr>
      <w:r>
        <w:t xml:space="preserve">Backup snapshot: October 17, 2026 (America/Los_Angeles). The interactive controls are represented by complete static explanations; this document can be read without the website.</w:t>
      </w:r>
    </w:p>
    <w:p>
      <w:pPr>
        <w:pStyle w:val="Heading1"/>
      </w:pPr>
      <w:r>
        <w:t xml:space="preserve">Website article</w:t>
      </w:r>
    </w:p>
    <w:p>
      <w:pPr>
        <w:pStyle w:val="FirstParagraph"/>
      </w:pPr>
      <w:r>
        <w:t xml:space="preserve">PART II /</w:t>
      </w:r>
      <w:r>
        <w:t xml:space="preserve"> </w:t>
      </w:r>
      <w:hyperlink r:id="rId20">
        <w:r>
          <w:rPr>
            <w:rStyle w:val="Hyperlink"/>
          </w:rPr>
          <w:t xml:space="preserve">DIVINE SIMPLICITY</w:t>
        </w:r>
      </w:hyperlink>
      <w:r>
        <w:t xml:space="preserve"> </w:t>
      </w:r>
      <w:r>
        <w:t xml:space="preserve">AND FREEDOM</w:t>
      </w:r>
    </w:p>
    <w:p>
      <w:pPr>
        <w:pStyle w:val="BodyText"/>
      </w:pPr>
      <w:r>
        <w:rPr>
          <w:b/>
          <w:bCs/>
        </w:rPr>
        <w:t xml:space="preserve">Underived.Simple?Free?</w:t>
      </w:r>
    </w:p>
    <w:p>
      <w:pPr>
        <w:pStyle w:val="BodyText"/>
      </w:pPr>
      <w:r>
        <w:t xml:space="preserve">From noncomposition to positive fullness, free creative</w:t>
      </w:r>
      <w:r>
        <w:t xml:space="preserve"> </w:t>
      </w:r>
      <w:hyperlink r:id="rId21">
        <w:r>
          <w:rPr>
            <w:rStyle w:val="Hyperlink"/>
          </w:rPr>
          <w:t xml:space="preserve">agency</w:t>
        </w:r>
      </w:hyperlink>
      <w:r>
        <w:t xml:space="preserve">, and knowledge without learning from effects. Which further arguments carry each step?</w:t>
      </w:r>
    </w:p>
    <w:p>
      <w:pPr>
        <w:pStyle w:val="BodyText"/>
      </w:pPr>
      <w:r>
        <w:t xml:space="preserve">The</w:t>
      </w:r>
      <w:r>
        <w:t xml:space="preserve"> </w:t>
      </w:r>
      <w:hyperlink r:id="rId22">
        <w:r>
          <w:rPr>
            <w:rStyle w:val="Hyperlink"/>
          </w:rPr>
          <w:t xml:space="preserve">shared reading guide</w:t>
        </w:r>
      </w:hyperlink>
      <w:r>
        <w:t xml:space="preserve"> </w:t>
      </w:r>
      <w:r>
        <w:t xml:space="preserve">explains the five analytical jobs and how the three investigations fit together.</w:t>
      </w:r>
    </w:p>
    <w:p>
      <w:pPr>
        <w:pStyle w:val="BodyText"/>
      </w:pPr>
      <w:r>
        <w:t xml:space="preserve">THE ASSUMED STARTING POINT</w:t>
      </w:r>
    </w:p>
    <w:p>
      <w:pPr>
        <w:pStyle w:val="BodyText"/>
      </w:pPr>
      <w:r>
        <w:t xml:space="preserve">g</w:t>
      </w:r>
    </w:p>
    <w:p>
      <w:pPr>
        <w:pStyle w:val="BodyText"/>
      </w:pPr>
    </w:p>
    <w:p>
      <w:pPr>
        <w:pStyle w:val="BodyText"/>
      </w:pPr>
      <w:r>
        <w:rPr>
          <w:b/>
          <w:bCs/>
        </w:rPr>
        <w:t xml:space="preserve">A</w:t>
      </w:r>
      <w:r>
        <w:t xml:space="preserve">one order</w:t>
      </w:r>
    </w:p>
    <w:p>
      <w:pPr>
        <w:pStyle w:val="BodyText"/>
      </w:pPr>
      <w:r>
        <w:rPr>
          <w:b/>
          <w:bCs/>
        </w:rPr>
        <w:t xml:space="preserve">B</w:t>
      </w:r>
      <w:r>
        <w:t xml:space="preserve">another order</w:t>
      </w:r>
    </w:p>
    <w:p>
      <w:pPr>
        <w:pStyle w:val="BodyText"/>
      </w:pPr>
      <w:r>
        <w:rPr>
          <w:b/>
          <w:bCs/>
        </w:rPr>
        <w:t xml:space="preserve">∅</w:t>
      </w:r>
      <w:r>
        <w:t xml:space="preserve">no creation</w:t>
      </w:r>
    </w:p>
    <w:p>
      <w:pPr>
        <w:pStyle w:val="BodyText"/>
      </w:pPr>
      <w:r>
        <w:t xml:space="preserve">Alternatives must be warranted.</w:t>
      </w:r>
      <w:r>
        <w:br/>
      </w:r>
      <w:r>
        <w:t xml:space="preserve">A complete source does not supply them by itself.</w:t>
      </w:r>
    </w:p>
    <w:p>
      <w:pPr>
        <w:pStyle w:val="BodyText"/>
      </w:pPr>
      <w:r>
        <w:t xml:space="preserve">PART I · FROM / LIKE / OTHER</w:t>
      </w:r>
      <w:r>
        <w:t xml:space="preserve">PART II · SIMPLE? / FREE? / SELF-KNOWING?</w:t>
      </w:r>
    </w:p>
    <w:bookmarkStart w:id="65" w:name="X80a524d739523e432ba9aaf5a6bf2cc9793d734"/>
    <w:p>
      <w:pPr>
        <w:pStyle w:val="Heading3"/>
      </w:pPr>
      <w:r>
        <w:t xml:space="preserve">Terms on this page</w:t>
      </w:r>
      <w:r>
        <w:t xml:space="preserve"> </w:t>
      </w:r>
      <w:r>
        <w:t xml:space="preserve">41 plain-English explanations</w:t>
      </w:r>
    </w:p>
    <w:p>
      <w:pPr>
        <w:pStyle w:val="FirstParagraph"/>
      </w:pPr>
      <w:r>
        <w:t xml:space="preserve">Open a definition here, or follow its name to the shared glossary for distinctions and related reading. A definition clarifies a claim; it does not establish its truth.</w:t>
      </w:r>
    </w:p>
    <w:p>
      <w:pPr>
        <w:pStyle w:val="DefinitionTerm"/>
      </w:pPr>
      <w:hyperlink r:id="rId23">
        <w:r>
          <w:rPr>
            <w:rStyle w:val="Hyperlink"/>
          </w:rPr>
          <w:t xml:space="preserve">Actuality</w:t>
        </w:r>
      </w:hyperlink>
    </w:p>
    <w:p>
      <w:pPr>
        <w:pStyle w:val="Definition"/>
      </w:pPr>
      <w:r>
        <w:t xml:space="preserve">What genuinely is or obtains, rather than what is merely possible or imagined. A person lives, an event occurs, and a relation holds in different ways; calling each actual does not make each a substance. In the formal model, actuality is represented through real possession of a specified content, not proved simply by using an existence symbol.</w:t>
      </w:r>
    </w:p>
    <w:p>
      <w:pPr>
        <w:pStyle w:val="DefinitionTerm"/>
      </w:pPr>
      <w:hyperlink r:id="rId24">
        <w:r>
          <w:rPr>
            <w:rStyle w:val="Hyperlink"/>
          </w:rPr>
          <w:t xml:space="preserve">Determination</w:t>
        </w:r>
      </w:hyperlink>
    </w:p>
    <w:p>
      <w:pPr>
        <w:pStyle w:val="Definition"/>
      </w:pPr>
      <w:r>
        <w:t xml:space="preserve">How a reality is specifically so: this patient is awake, this intention concerns helping someone, or this act produces this effect. Determination is not necessarily an event of being determined by something else. The project asks separately what makes a description true, whether its subject receives that actuality, and whether an actual choice could have differed.</w:t>
      </w:r>
    </w:p>
    <w:p>
      <w:pPr>
        <w:pStyle w:val="DefinitionTerm"/>
      </w:pPr>
      <w:hyperlink r:id="rId25">
        <w:r>
          <w:rPr>
            <w:rStyle w:val="Hyperlink"/>
          </w:rPr>
          <w:t xml:space="preserve">Realization</w:t>
        </w:r>
      </w:hyperlink>
    </w:p>
    <w:p>
      <w:pPr>
        <w:pStyle w:val="Definition"/>
      </w:pPr>
      <w:r>
        <w:t xml:space="preserve">The actual condition in virtue of which a content or description is instantiated in a subject. Different descriptions may sometimes be supported by the same concrete reality without becoming synonyms. This possibility does not establish that all properties share one realizer, or that divine attributes are identical; each proposed identity still requires an argument.</w:t>
      </w:r>
    </w:p>
    <w:p>
      <w:pPr>
        <w:pStyle w:val="DefinitionTerm"/>
      </w:pPr>
      <w:hyperlink r:id="rId26">
        <w:r>
          <w:rPr>
            <w:rStyle w:val="Hyperlink"/>
          </w:rPr>
          <w:t xml:space="preserve">Constitution</w:t>
        </w:r>
      </w:hyperlink>
    </w:p>
    <w:p>
      <w:pPr>
        <w:pStyle w:val="Definition"/>
      </w:pPr>
      <w:r>
        <w:t xml:space="preserve">What makes up or internally contributes to a whole's actuality, as timber does to a table. A proper constituent is less than the whole it helps constitute. Composition concerns such constitutive plurality. Whether every proposed internal distinction has this role, and whether the whole depends on its constituents, require further arguments rather than following from the word distinct.</w:t>
      </w:r>
    </w:p>
    <w:p>
      <w:pPr>
        <w:pStyle w:val="DefinitionTerm"/>
      </w:pPr>
      <w:hyperlink r:id="rId27">
        <w:r>
          <w:rPr>
            <w:rStyle w:val="Hyperlink"/>
          </w:rPr>
          <w:t xml:space="preserve">Intrinsic and extrinsic</w:t>
        </w:r>
      </w:hyperlink>
    </w:p>
    <w:p>
      <w:pPr>
        <w:pStyle w:val="Definition"/>
      </w:pPr>
      <w:r>
        <w:t xml:space="preserve">An intrinsic feature concerns what a reality is or how it is in itself; an extrinsic attribution concerns it through a relation to something else. Different accounts disagree over the precise boundary. Calling a divine action 'relational' therefore opens a question about its real basis; it does not already explain its intentional determination.</w:t>
      </w:r>
    </w:p>
    <w:p>
      <w:pPr>
        <w:pStyle w:val="DefinitionTerm"/>
      </w:pPr>
      <w:hyperlink r:id="rId28">
        <w:r>
          <w:rPr>
            <w:rStyle w:val="Hyperlink"/>
          </w:rPr>
          <w:t xml:space="preserve">Formal distinction</w:t>
        </w:r>
      </w:hyperlink>
    </w:p>
    <w:p>
      <w:pPr>
        <w:pStyle w:val="Definition"/>
      </w:pPr>
      <w:r>
        <w:t xml:space="preserve">In Scotist usage, a distinction between intelligible aspects that have a basis in the thing before our thinking, without being separate things. Whether particular formalities introduce composition or dependence is disputed. Elsewhere, a difference of formal content may mean only different explanatory meanings; that broader usage must not automatically import the whole Scotist theory.</w:t>
      </w:r>
    </w:p>
    <w:p>
      <w:pPr>
        <w:pStyle w:val="DefinitionTerm"/>
      </w:pPr>
      <w:hyperlink r:id="rId29">
        <w:r>
          <w:rPr>
            <w:rStyle w:val="Hyperlink"/>
          </w:rPr>
          <w:t xml:space="preserve">Act and potency</w:t>
        </w:r>
      </w:hyperlink>
    </w:p>
    <w:p>
      <w:pPr>
        <w:pStyle w:val="Definition"/>
      </w:pPr>
      <w:r>
        <w:t xml:space="preserve">Act concerns an actuality possessed or exercised; potency concerns a real capacity for actuality. Passive potency is a capacity to receive actualization, whereas active power is a capacity to act or produce. The distinction analyzes change and dependence, but its application to a particular divine or created claim requires an argument.</w:t>
      </w:r>
    </w:p>
    <w:p>
      <w:pPr>
        <w:pStyle w:val="DefinitionTerm"/>
      </w:pPr>
      <w:hyperlink r:id="rId30">
        <w:r>
          <w:rPr>
            <w:rStyle w:val="Hyperlink"/>
          </w:rPr>
          <w:t xml:space="preserve">Essence and existence</w:t>
        </w:r>
      </w:hyperlink>
    </w:p>
    <w:p>
      <w:pPr>
        <w:pStyle w:val="Definition"/>
      </w:pPr>
      <w:r>
        <w:t xml:space="preserve">Essence answers what something is; existence concerns its actually being. Distinguishing these concepts does not by itself prove that a creature contains really distinct metaphysical principles. In an account where essence receives existential actuality, an absolutely underived source cannot receive existence in that way. The simplicity conclusion therefore depends on the defended ontology of reception.</w:t>
      </w:r>
    </w:p>
    <w:p>
      <w:pPr>
        <w:pStyle w:val="DefinitionTerm"/>
      </w:pPr>
      <w:hyperlink r:id="rId31">
        <w:r>
          <w:rPr>
            <w:rStyle w:val="Hyperlink"/>
          </w:rPr>
          <w:t xml:space="preserve">Substance and accident</w:t>
        </w:r>
      </w:hyperlink>
    </w:p>
    <w:p>
      <w:pPr>
        <w:pStyle w:val="Definition"/>
      </w:pPr>
      <w:r>
        <w:t xml:space="preserve">In the classical vocabulary, substance concerns what exists as a subject; an accident qualifies that subject without being a separate substance. Substance is therefore not simply chemical material, and accident does not mean chance or mistake. Eucharistic teaching uses these distinctions to affirm conversion of what bread and wine are while their sensible appearances remain.</w:t>
      </w:r>
    </w:p>
    <w:p>
      <w:pPr>
        <w:pStyle w:val="DefinitionTerm"/>
      </w:pPr>
      <w:hyperlink r:id="rId32">
        <w:r>
          <w:rPr>
            <w:rStyle w:val="Hyperlink"/>
          </w:rPr>
          <w:t xml:space="preserve">Ontological dependence</w:t>
        </w:r>
      </w:hyperlink>
    </w:p>
    <w:p>
      <w:pPr>
        <w:pStyle w:val="Definition"/>
      </w:pPr>
      <w:r>
        <w:t xml:space="preserve">Relying on another for being or actuality in a specified respect, rather than merely needing information about it or following it in time. A claim of dependence is incomplete until that respect and direction are stated. Dependence for a power does not itself deny the recipient's possession of the power or establish that someone else performs its exercise.</w:t>
      </w:r>
    </w:p>
    <w:p>
      <w:pPr>
        <w:pStyle w:val="DefinitionTerm"/>
      </w:pPr>
      <w:hyperlink r:id="rId33">
        <w:r>
          <w:rPr>
            <w:rStyle w:val="Hyperlink"/>
          </w:rPr>
          <w:t xml:space="preserve">Underivation and sourcehood</w:t>
        </w:r>
      </w:hyperlink>
    </w:p>
    <w:p>
      <w:pPr>
        <w:pStyle w:val="Definition"/>
      </w:pPr>
      <w:r>
        <w:t xml:space="preserve">A source is an origin of the relevant actuality in another. Absolute underivation denies receiving or depending upon anything for the actuality by which the source is ultimate; aseity expresses divine being from no other. This is not self-production, infinity, or simplicity by definition. The Son's personal origin from the Father is a different theological relation from creaturely dependence.</w:t>
      </w:r>
    </w:p>
    <w:p>
      <w:pPr>
        <w:pStyle w:val="DefinitionTerm"/>
      </w:pPr>
      <w:hyperlink r:id="rId34">
        <w:r>
          <w:rPr>
            <w:rStyle w:val="Hyperlink"/>
          </w:rPr>
          <w:t xml:space="preserve">Causal adequacy</w:t>
        </w:r>
      </w:hyperlink>
    </w:p>
    <w:p>
      <w:pPr>
        <w:pStyle w:val="Definition"/>
      </w:pPr>
      <w:r>
        <w:t xml:space="preserve">The requirement that a proposed cause be sufficient in the relevant respect for the effect attributed to it. This does not mean that every cause resembles its effect or possesses the effect’s perfection in the same way. Inferring intrinsic understanding or goodness in a universal source requires a stronger, separately defended principle about source-perfection.</w:t>
      </w:r>
    </w:p>
    <w:p>
      <w:pPr>
        <w:pStyle w:val="DefinitionTerm"/>
      </w:pPr>
      <w:hyperlink r:id="rId35">
        <w:r>
          <w:rPr>
            <w:rStyle w:val="Hyperlink"/>
          </w:rPr>
          <w:t xml:space="preserve">Pure perfection</w:t>
        </w:r>
      </w:hyperlink>
    </w:p>
    <w:p>
      <w:pPr>
        <w:pStyle w:val="Definition"/>
      </w:pPr>
      <w:r>
        <w:t xml:space="preserve">A proposed positive excellence whose content does not as such include defect or receptive limitation, such as understanding considered apart from learning. Identifying such content is a philosophical task, not an automatic permission to transfer a whole creaturely description into God. Courage includes a response to danger, for example; its finite circumstances must not simply be attributed to the source.</w:t>
      </w:r>
    </w:p>
    <w:p>
      <w:pPr>
        <w:pStyle w:val="DefinitionTerm"/>
      </w:pPr>
      <w:hyperlink r:id="rId36">
        <w:r>
          <w:rPr>
            <w:rStyle w:val="Hyperlink"/>
          </w:rPr>
          <w:t xml:space="preserve">Non-exhaustion</w:t>
        </w:r>
      </w:hyperlink>
    </w:p>
    <w:p>
      <w:pPr>
        <w:pStyle w:val="Definition"/>
      </w:pPr>
      <w:r>
        <w:t xml:space="preserve">A finite reception fails to match an unlimited source in the relevant perfection or capacity for actuality. The respect matters: unlimited actuality does not automatically prove every other infinity. Non-exhaustion does not make every finite proposition false or vague, and it does not establish that the effect could have failed to exist. A necessary finite emanation remains a countermodel.</w:t>
      </w:r>
    </w:p>
    <w:p>
      <w:pPr>
        <w:pStyle w:val="DefinitionTerm"/>
      </w:pPr>
      <w:hyperlink r:id="rId37">
        <w:r>
          <w:rPr>
            <w:rStyle w:val="Hyperlink"/>
          </w:rPr>
          <w:t xml:space="preserve">Common genus</w:t>
        </w:r>
      </w:hyperlink>
    </w:p>
    <w:p>
      <w:pPr>
        <w:pStyle w:val="Definition"/>
      </w:pPr>
      <w:r>
        <w:t xml:space="preserve">A common natural kind under which members are constituted as kinds of the same general reality, completed by differentiating principles. The project's no-genus argument depends on this substantive account of constitution. Merely sharing a logical predicate or an intelligible concept of being is weaker. Scotist univocity of a concept therefore cannot simply be dismissed as divine membership in a natural genus.</w:t>
      </w:r>
    </w:p>
    <w:p>
      <w:pPr>
        <w:pStyle w:val="DefinitionTerm"/>
      </w:pPr>
      <w:hyperlink r:id="rId38">
        <w:r>
          <w:rPr>
            <w:rStyle w:val="Hyperlink"/>
          </w:rPr>
          <w:t xml:space="preserve">Exemplarism and divine ideas</w:t>
        </w:r>
      </w:hyperlink>
    </w:p>
    <w:p>
      <w:pPr>
        <w:pStyle w:val="Definition"/>
      </w:pPr>
      <w:r>
        <w:t xml:space="preserve">An account of how created forms and possibilities are intelligible through their relation to divine knowledge as exemplar. Divine ideas are not independent Forms that instruct God from outside. Their content must also be distinguished from the free production of creatures: knowing an intelligible possibility is not yet choosing it, or making it actual.</w:t>
      </w:r>
    </w:p>
    <w:p>
      <w:pPr>
        <w:pStyle w:val="DefinitionTerm"/>
      </w:pPr>
      <w:hyperlink r:id="rId39">
        <w:r>
          <w:rPr>
            <w:rStyle w:val="Hyperlink"/>
          </w:rPr>
          <w:t xml:space="preserve">Logoi and rationes</w:t>
        </w:r>
      </w:hyperlink>
    </w:p>
    <w:p>
      <w:pPr>
        <w:pStyle w:val="Definition"/>
      </w:pPr>
      <w:r>
        <w:t xml:space="preserve">Greek logoi and Latin rationes can mean intelligible reasons, principles, or accounts. In the relevant Christian uses, they explain determinate creaturely intelligibility through the divine source rather than through detached Forms. Their meanings vary by author. Maximus's logoi in the Logos must not be equated without argument with Augustine's divine ideas or treated as parts making up God.</w:t>
      </w:r>
    </w:p>
    <w:p>
      <w:pPr>
        <w:pStyle w:val="DefinitionTerm"/>
      </w:pPr>
      <w:hyperlink r:id="rId40">
        <w:r>
          <w:rPr>
            <w:rStyle w:val="Hyperlink"/>
          </w:rPr>
          <w:t xml:space="preserve">Secondary causality</w:t>
        </w:r>
      </w:hyperlink>
    </w:p>
    <w:p>
      <w:pPr>
        <w:pStyle w:val="Definition"/>
      </w:pPr>
      <w:r>
        <w:t xml:space="preserve">The real causal activity of creatures whose existence and powers depend on God. A fire genuinely heats and a person genuinely acts; dependence does not make either a mere appearance of divine action. Calling these causes secondary identifies their dependence, not their unreality or unimportance.</w:t>
      </w:r>
    </w:p>
    <w:p>
      <w:pPr>
        <w:pStyle w:val="DefinitionTerm"/>
      </w:pPr>
      <w:hyperlink r:id="rId41">
        <w:r>
          <w:rPr>
            <w:rStyle w:val="Hyperlink"/>
          </w:rPr>
          <w:t xml:space="preserve">Divine concurrence</w:t>
        </w:r>
      </w:hyperlink>
    </w:p>
    <w:p>
      <w:pPr>
        <w:pStyle w:val="Definition"/>
      </w:pPr>
      <w:r>
        <w:t xml:space="preserve">God’s causally sustaining involvement in a creature’s own action. The creature genuinely exercises its received power; divine action does not become a second finite force competing for the same task. Accounts of precisely how this works differ among Catholic schools. Naming concurrence does not settle every question about freedom or responsibility.</w:t>
      </w:r>
    </w:p>
    <w:p>
      <w:pPr>
        <w:pStyle w:val="DefinitionTerm"/>
      </w:pPr>
      <w:hyperlink r:id="rId42">
        <w:r>
          <w:rPr>
            <w:rStyle w:val="Hyperlink"/>
          </w:rPr>
          <w:t xml:space="preserve">Necessary emanation</w:t>
        </w:r>
      </w:hyperlink>
    </w:p>
    <w:p>
      <w:pPr>
        <w:pStyle w:val="Definition"/>
      </w:pPr>
      <w:r>
        <w:t xml:space="preserve">Production of an effect that follows necessarily from its source, without a genuine alternative in which that production does not occur. It is a countermodel to inferring free creation from fullness or inexhaustibility: an unlimited source could necessarily produce a limited effect. The project does not classify every historical use of procession or diffusion of goodness as necessary emanation.</w:t>
      </w:r>
    </w:p>
    <w:p>
      <w:pPr>
        <w:pStyle w:val="DefinitionTerm"/>
      </w:pPr>
      <w:hyperlink r:id="rId43">
        <w:r>
          <w:rPr>
            <w:rStyle w:val="Hyperlink"/>
          </w:rPr>
          <w:t xml:space="preserve">Possibility, necessity, and contingency</w:t>
        </w:r>
      </w:hyperlink>
    </w:p>
    <w:p>
      <w:pPr>
        <w:pStyle w:val="Definition"/>
      </w:pPr>
      <w:r>
        <w:t xml:space="preserve">Possibility concerns what could genuinely be; necessity concerns what could not fail to be; contingency concerns what is actual but could have been otherwise. Possible worlds label complete alternatives rather than places or times in God. A consistent description is not automatically metaphysically possible, and temporal change is not the same as an alternative to the actual outcome.</w:t>
      </w:r>
    </w:p>
    <w:p>
      <w:pPr>
        <w:pStyle w:val="DefinitionTerm"/>
      </w:pPr>
      <w:hyperlink r:id="rId44">
        <w:r>
          <w:rPr>
            <w:rStyle w:val="Hyperlink"/>
          </w:rPr>
          <w:t xml:space="preserve">Synchronic contingency</w:t>
        </w:r>
      </w:hyperlink>
    </w:p>
    <w:p>
      <w:pPr>
        <w:pStyle w:val="Definition"/>
      </w:pPr>
      <w:r>
        <w:t xml:space="preserve">The possibility of acting otherwise at the very act of choice, rather than merely being able to change one's mind later. The term is associated here with Scotus's account of will. Applying its insight to divine action does not require a temporal hesitation in God, and does not independently establish the project's additional claim of unchanged intrinsic actuality across alternatives.</w:t>
      </w:r>
    </w:p>
    <w:p>
      <w:pPr>
        <w:pStyle w:val="DefinitionTerm"/>
      </w:pPr>
      <w:hyperlink r:id="rId45">
        <w:r>
          <w:rPr>
            <w:rStyle w:val="Hyperlink"/>
          </w:rPr>
          <w:t xml:space="preserve">Modal collapse</w:t>
        </w:r>
      </w:hyperlink>
    </w:p>
    <w:p>
      <w:pPr>
        <w:pStyle w:val="Definition"/>
      </w:pPr>
      <w:r>
        <w:t xml:space="preserve">A loss of genuine contingency when necessary divine reality is taken to entail each particular created outcome necessarily. An infallible intention's necessarily succeeding does not establish that having that intention is necessary. The difficult question concerns which creative intention occurs and why. Distinguishing those steps blocks one inference to collapse; a complete theory still needs a defended account of free specification.</w:t>
      </w:r>
    </w:p>
    <w:p>
      <w:pPr>
        <w:pStyle w:val="DefinitionTerm"/>
      </w:pPr>
      <w:hyperlink r:id="rId46">
        <w:r>
          <w:rPr>
            <w:rStyle w:val="Hyperlink"/>
          </w:rPr>
          <w:t xml:space="preserve">Intrinsic invariance</w:t>
        </w:r>
      </w:hyperlink>
    </w:p>
    <w:p>
      <w:pPr>
        <w:pStyle w:val="Definition"/>
      </w:pPr>
      <w:r>
        <w:t xml:space="preserve">The additional claim that the source's intrinsic actuality is identical across the different possible created outcomes under consideration. This is stronger than having no proper parts or never changing in time. A noncomposite source with different intrinsic intentions in different possible worlds is the rival. The project treats invariance as a disputed modal bridge, not a definition of simplicity.</w:t>
      </w:r>
    </w:p>
    <w:p>
      <w:pPr>
        <w:pStyle w:val="DefinitionTerm"/>
      </w:pPr>
      <w:hyperlink r:id="rId47">
        <w:r>
          <w:rPr>
            <w:rStyle w:val="Hyperlink"/>
          </w:rPr>
          <w:t xml:space="preserve">Intentionality</w:t>
        </w:r>
      </w:hyperlink>
    </w:p>
    <w:p>
      <w:pPr>
        <w:pStyle w:val="Definition"/>
      </w:pPr>
      <w:r>
        <w:t xml:space="preserve">The directedness of thought, desire, or action toward an understood object or content. An intention concerns what an agent undertakes, rather than everything that happens through the action. A produced outcome does not retrospectively supply its own intended meaning. The divine account must explain actual, source-originated direction while distinguishing intended goods from merely permitted effects.</w:t>
      </w:r>
    </w:p>
    <w:p>
      <w:pPr>
        <w:pStyle w:val="DefinitionTerm"/>
      </w:pPr>
      <w:hyperlink r:id="rId21">
        <w:r>
          <w:rPr>
            <w:rStyle w:val="Hyperlink"/>
          </w:rPr>
          <w:t xml:space="preserve">Agency</w:t>
        </w:r>
      </w:hyperlink>
    </w:p>
    <w:p>
      <w:pPr>
        <w:pStyle w:val="Definition"/>
      </w:pPr>
      <w:r>
        <w:t xml:space="preserve">A subject's own exercise of power in producing or directing an act. Intelligent agency includes acting for apprehended reasons. Free agency requires an account of authored control; where alternative outcomes are claimed, their genuine possibility needs further warrant. Dependence on a source does not itself establish intelligent selection or eliminate a creature's own causal contribution.</w:t>
      </w:r>
    </w:p>
    <w:p>
      <w:pPr>
        <w:pStyle w:val="DefinitionTerm"/>
      </w:pPr>
      <w:hyperlink r:id="rId48">
        <w:r>
          <w:rPr>
            <w:rStyle w:val="Hyperlink"/>
          </w:rPr>
          <w:t xml:space="preserve">Efficacy</w:t>
        </w:r>
      </w:hyperlink>
    </w:p>
    <w:p>
      <w:pPr>
        <w:pStyle w:val="Definition"/>
      </w:pPr>
      <w:r>
        <w:t xml:space="preserve">Success in bringing about an intended or causally specified effect. Intending, having power, and actually succeeding are different achievements. Infallible efficacy means that a given divine creative intention cannot fail in its execution. It does not by itself show that God must have that intention, that the intention is known, or that a creature's harmful intention is God's intention.</w:t>
      </w:r>
    </w:p>
    <w:p>
      <w:pPr>
        <w:pStyle w:val="DefinitionTerm"/>
      </w:pPr>
      <w:hyperlink r:id="rId49">
        <w:r>
          <w:rPr>
            <w:rStyle w:val="Hyperlink"/>
          </w:rPr>
          <w:t xml:space="preserve">Productive knowledge</w:t>
        </w:r>
      </w:hyperlink>
    </w:p>
    <w:p>
      <w:pPr>
        <w:pStyle w:val="Definition"/>
      </w:pPr>
      <w:r>
        <w:t xml:space="preserve">Knowledge of an effect through warranted awareness of the intelligent action that produces it, rather than learning from the finished effect. The proposal requires awareness of the actual intention, adequate disclosure of its result, and epistemic warrant. Knowing a power or all possible plans is insufficient. Its scope does not automatically include every independent secondary intention or establish complete divine omniscience.</w:t>
      </w:r>
    </w:p>
    <w:p>
      <w:pPr>
        <w:pStyle w:val="DefinitionTerm"/>
      </w:pPr>
      <w:hyperlink r:id="rId50">
        <w:r>
          <w:rPr>
            <w:rStyle w:val="Hyperlink"/>
          </w:rPr>
          <w:t xml:space="preserve">Factivity</w:t>
        </w:r>
      </w:hyperlink>
    </w:p>
    <w:p>
      <w:pPr>
        <w:pStyle w:val="Definition"/>
      </w:pPr>
      <w:r>
        <w:t xml:space="preserve">Knowledge is factive: if someone knows that a claim is true, the claim is true. Confidence or sincerity can be mistaken and is therefore insufficient. Factivity states a truth condition of knowledge; it does not itself explain cognitive access, the cause of the fact known, or whether the knower’s awareness necessitates the event.</w:t>
      </w:r>
    </w:p>
    <w:p>
      <w:pPr>
        <w:pStyle w:val="DefinitionTerm"/>
      </w:pPr>
      <w:hyperlink r:id="rId51">
        <w:r>
          <w:rPr>
            <w:rStyle w:val="Hyperlink"/>
          </w:rPr>
          <w:t xml:space="preserve">Warrant</w:t>
        </w:r>
      </w:hyperlink>
    </w:p>
    <w:p>
      <w:pPr>
        <w:pStyle w:val="Definition"/>
      </w:pPr>
      <w:r>
        <w:t xml:space="preserve">The grounds that justify a belief or inference, with their proper scope. Conceptual clarification, metaphysical argument, historical testimony, empirical evidence, and revelation contribute different kinds of support. Warrant concerns responsible belief; truth concerns what actually obtains. An argument needs to show why its evidence or premises support its particular conclusion.</w:t>
      </w:r>
    </w:p>
    <w:p>
      <w:pPr>
        <w:pStyle w:val="DefinitionTerm"/>
      </w:pPr>
      <w:hyperlink r:id="rId52">
        <w:r>
          <w:rPr>
            <w:rStyle w:val="Hyperlink"/>
          </w:rPr>
          <w:t xml:space="preserve">Relational account of divine action</w:t>
        </w:r>
      </w:hyperlink>
    </w:p>
    <w:p>
      <w:pPr>
        <w:pStyle w:val="Definition"/>
      </w:pPr>
      <w:r>
        <w:t xml:space="preserve">The constructive proposal that different complete facts of God intentionally producing different effects can be real without requiring different intrinsic divine actualities. Terminus means the effect toward which the action is directed, not a new item added to God. This proposal must explain authorship and intentional direction; simply describing the result as relational or extrinsic does not establish the account.</w:t>
      </w:r>
    </w:p>
    <w:p>
      <w:pPr>
        <w:pStyle w:val="DefinitionTerm"/>
      </w:pPr>
      <w:hyperlink r:id="rId53">
        <w:r>
          <w:rPr>
            <w:rStyle w:val="Hyperlink"/>
          </w:rPr>
          <w:t xml:space="preserve">Unreceived determinacy</w:t>
        </w:r>
      </w:hyperlink>
    </w:p>
    <w:p>
      <w:pPr>
        <w:pStyle w:val="Definition"/>
      </w:pPr>
      <w:r>
        <w:t xml:space="preserve">Being genuinely and intelligibly thus without receiving the actuality by which one is so from a more basic determining principle. The phrase organizes the project's account of divine fullness; it is not a newly demonstrated primitive or a seventh proof of simplicity. Essential perfections, revealed personal origins, and freely specified outward acts retain different explanatory requirements.</w:t>
      </w:r>
    </w:p>
    <w:p>
      <w:pPr>
        <w:pStyle w:val="DefinitionTerm"/>
      </w:pPr>
      <w:hyperlink r:id="rId54">
        <w:r>
          <w:rPr>
            <w:rStyle w:val="Hyperlink"/>
          </w:rPr>
          <w:t xml:space="preserve">Plenitude</w:t>
        </w:r>
      </w:hyperlink>
    </w:p>
    <w:p>
      <w:pPr>
        <w:pStyle w:val="Definition"/>
      </w:pPr>
      <w:r>
        <w:t xml:space="preserve">Positive fullness of actuality and perfection without completion by something more basic or by created manifestation. Plenitude is not an inventory of added attributes and not an indeterminate blank. Which positive perfections belong to God requires independent argument; excluding parts cannot manufacture wisdom or goodness. Nor does fullness alone establish that communication is free rather than necessary.</w:t>
      </w:r>
    </w:p>
    <w:p>
      <w:pPr>
        <w:pStyle w:val="DefinitionTerm"/>
      </w:pPr>
      <w:hyperlink r:id="rId55">
        <w:r>
          <w:rPr>
            <w:rStyle w:val="Hyperlink"/>
          </w:rPr>
          <w:t xml:space="preserve">Bridge principle</w:t>
        </w:r>
      </w:hyperlink>
    </w:p>
    <w:p>
      <w:pPr>
        <w:pStyle w:val="Definition"/>
      </w:pPr>
      <w:r>
        <w:t xml:space="preserve">The premise licensing a move from one established claim to a stronger or different claim. Causation does not by itself establish likeness; received power does not by itself establish free agency. A bridge must be stated and defended in the relevant respect. Giving the move an attractive name or a formal symbol supplies no missing warrant.</w:t>
      </w:r>
    </w:p>
    <w:p>
      <w:pPr>
        <w:pStyle w:val="DefinitionTerm"/>
      </w:pPr>
      <w:hyperlink r:id="rId56">
        <w:r>
          <w:rPr>
            <w:rStyle w:val="Hyperlink"/>
          </w:rPr>
          <w:t xml:space="preserve">Deletion and countermodel tests</w:t>
        </w:r>
      </w:hyperlink>
    </w:p>
    <w:p>
      <w:pPr>
        <w:pStyle w:val="Definition"/>
      </w:pPr>
      <w:r>
        <w:t xml:space="preserve">A deletion test removes a proposed premise and asks which explanations are lost. An independence countermodel satisfies the remaining formal assumptions while denying that premise or its target conclusion. Such a model demonstrates a logical limitation relative to the specified interpretation; it does not automatically establish a philosophically coherent rival in every respect. Programmed dependency explorers track listed arguments, not every possible proof.</w:t>
      </w:r>
    </w:p>
    <w:p>
      <w:pPr>
        <w:pStyle w:val="DefinitionTerm"/>
      </w:pPr>
      <w:hyperlink r:id="rId57">
        <w:r>
          <w:rPr>
            <w:rStyle w:val="Hyperlink"/>
          </w:rPr>
          <w:t xml:space="preserve">Whole-priority</w:t>
        </w:r>
      </w:hyperlink>
    </w:p>
    <w:p>
      <w:pPr>
        <w:pStyle w:val="Definition"/>
      </w:pPr>
      <w:r>
        <w:t xml:space="preserve">An account on which a whole is metaphysically prior to its parts or properties, so the whole explains them rather than being explained by assembling independently prior items. It challenges a simple inference from plurality to constitutive dependence. The philosophical burden is to explain why the alleged elements are proper constituents at all and whether the proposed priority genuinely removes conditionedness.</w:t>
      </w:r>
    </w:p>
    <w:p>
      <w:pPr>
        <w:pStyle w:val="DefinitionTerm"/>
      </w:pPr>
      <w:hyperlink r:id="rId58">
        <w:r>
          <w:rPr>
            <w:rStyle w:val="Hyperlink"/>
          </w:rPr>
          <w:t xml:space="preserve">Unity</w:t>
        </w:r>
      </w:hyperlink>
    </w:p>
    <w:p>
      <w:pPr>
        <w:pStyle w:val="Definition"/>
      </w:pPr>
      <w:r>
        <w:t xml:space="preserve">The way a reality counts as one rather than merely an assortment. A pile can be one collection, while an organism integrates processes within one life; calling both one does not explain either organization. A non-derivative unity is not made one by more basic constituents or coordination. Establishing it requires an argument about the relevant whole, not the mere assertion that it exists.</w:t>
      </w:r>
    </w:p>
    <w:p>
      <w:pPr>
        <w:pStyle w:val="DefinitionTerm"/>
      </w:pPr>
      <w:hyperlink r:id="rId59">
        <w:r>
          <w:rPr>
            <w:rStyle w:val="Hyperlink"/>
          </w:rPr>
          <w:t xml:space="preserve">Analogia entis</w:t>
        </w:r>
      </w:hyperlink>
    </w:p>
    <w:p>
      <w:pPr>
        <w:pStyle w:val="Definition"/>
      </w:pPr>
      <w:r>
        <w:t xml:space="preserve">Analogy of being: created reality can truly resemble and disclose God while differing in its mode of being. In Przywara’s use, likeness remains within an ever-greater Creator–creature dissimilarity. The expression names a family of philosophical and theological accounts, not a single agreed formula. Its positive attributions still require arguments connecting finite expression with the source disclosed.</w:t>
      </w:r>
    </w:p>
    <w:p>
      <w:pPr>
        <w:pStyle w:val="DefinitionTerm"/>
      </w:pPr>
      <w:hyperlink r:id="rId60">
        <w:r>
          <w:rPr>
            <w:rStyle w:val="Hyperlink"/>
          </w:rPr>
          <w:t xml:space="preserve">Brute fact</w:t>
        </w:r>
      </w:hyperlink>
    </w:p>
    <w:p>
      <w:pPr>
        <w:pStyle w:val="Definition"/>
      </w:pPr>
      <w:r>
        <w:t xml:space="preserve">A fact held to obtain without a deeper explanation in the relevant respect. Brute does not itself mean random, unstable, or logically contradictory: a rival may posit a necessarily existing brute whole. Rejecting that stopping point requires an explanatory principle. The project’s demand for an underived source must therefore defend why the proposed brute fact leaves its question unanswered.</w:t>
      </w:r>
    </w:p>
    <w:p>
      <w:pPr>
        <w:pStyle w:val="DefinitionTerm"/>
      </w:pPr>
      <w:hyperlink r:id="rId61">
        <w:r>
          <w:rPr>
            <w:rStyle w:val="Hyperlink"/>
          </w:rPr>
          <w:t xml:space="preserve">Grounding</w:t>
        </w:r>
      </w:hyperlink>
    </w:p>
    <w:p>
      <w:pPr>
        <w:pStyle w:val="Definition"/>
      </w:pPr>
      <w:r>
        <w:t xml:space="preserve">An explanatory relation often expressed by saying that one fact obtains in virtue of another. It ordinarily concerns metaphysical priority rather than an earlier event producing a later one. The project distinguishes grounding from causation, constitution, evidence, and truthmaking. Claims about its direction, necessity, or ultimate termination need arguments rather than a shared arrow.</w:t>
      </w:r>
    </w:p>
    <w:p>
      <w:pPr>
        <w:pStyle w:val="DefinitionTerm"/>
      </w:pPr>
      <w:hyperlink r:id="rId62">
        <w:r>
          <w:rPr>
            <w:rStyle w:val="Hyperlink"/>
          </w:rPr>
          <w:t xml:space="preserve">Truthmaking</w:t>
        </w:r>
      </w:hyperlink>
    </w:p>
    <w:p>
      <w:pPr>
        <w:pStyle w:val="Definition"/>
      </w:pPr>
      <w:r>
        <w:t xml:space="preserve">The relation by which reality accounts for a statement's being true. A patient's actual condition can make a report true without being evidence available to its writer. Similarly, an effect's existence may be required for a true assertion about it without the effect producing or informing God's knowledge. Truthmaking and cognitive acquisition therefore require separate analysis.</w:t>
      </w:r>
    </w:p>
    <w:p>
      <w:pPr>
        <w:pStyle w:val="FirstParagraph"/>
      </w:pPr>
      <w:hyperlink r:id="rId63">
        <w:r>
          <w:rPr>
            <w:rStyle w:val="Hyperlink"/>
          </w:rPr>
          <w:t xml:space="preserve">Browse the complete glossary across both projects →</w:t>
        </w:r>
      </w:hyperlink>
    </w:p>
    <w:p>
      <w:pPr>
        <w:pStyle w:val="BodyText"/>
      </w:pPr>
      <w:r>
        <w:t xml:space="preserve">Look up another word</w:t>
      </w:r>
    </w:p>
    <w:p>
      <w:pPr>
        <w:pStyle w:val="BodyText"/>
      </w:pPr>
      <w:hyperlink r:id="rId64">
        <w:r>
          <w:rPr>
            <w:rStyle w:val="Hyperlink"/>
          </w:rPr>
          <w:t xml:space="preserve">Search this phrase across both projects →</w:t>
        </w:r>
      </w:hyperlink>
    </w:p>
    <w:bookmarkEnd w:id="65"/>
    <w:p>
      <w:pPr>
        <w:pStyle w:val="BodyText"/>
      </w:pPr>
      <w:r>
        <w:t xml:space="preserve">00 / WHAT THIS PAGE IS</w:t>
      </w:r>
    </w:p>
    <w:bookmarkStart w:id="67" w:name="a-second-inquiry.-a-different-burden."/>
    <w:p>
      <w:pPr>
        <w:pStyle w:val="Heading2"/>
      </w:pPr>
      <w:r>
        <w:t xml:space="preserve">A second inquiry. A different burden.</w:t>
      </w:r>
    </w:p>
    <w:p>
      <w:pPr>
        <w:pStyle w:val="FirstParagraph"/>
      </w:pPr>
      <w:hyperlink r:id="rId66">
        <w:r>
          <w:rPr>
            <w:rStyle w:val="Hyperlink"/>
          </w:rPr>
          <w:t xml:space="preserve">Participation</w:t>
        </w:r>
      </w:hyperlink>
      <w:r>
        <w:t xml:space="preserve"> </w:t>
      </w:r>
      <w:r>
        <w:t xml:space="preserve">concerns real received possession. This inquiry asks what further arguments would establish a simple, intelligent source whose creative action is genuinely free.</w:t>
      </w:r>
    </w:p>
    <w:bookmarkEnd w:id="67"/>
    <w:p>
      <w:pPr>
        <w:pStyle w:val="BodyText"/>
      </w:pPr>
      <w:r>
        <w:t xml:space="preserve">Conditional starting point</w:t>
      </w:r>
    </w:p>
    <w:p>
      <w:pPr>
        <w:pStyle w:val="BodyText"/>
      </w:pPr>
      <w:r>
        <w:t xml:space="preserve">A creature can possess received</w:t>
      </w:r>
      <w:r>
        <w:t xml:space="preserve"> </w:t>
      </w:r>
      <w:hyperlink r:id="rId23">
        <w:r>
          <w:rPr>
            <w:rStyle w:val="Hyperlink"/>
          </w:rPr>
          <w:t xml:space="preserve">actuality</w:t>
        </w:r>
      </w:hyperlink>
      <w:r>
        <w:t xml:space="preserve"> </w:t>
      </w:r>
      <w:r>
        <w:t xml:space="preserve">without being a piece of its source. The first investigation explained this through explicit causal, qualitative, and constitutive premises. It adopted an underived, unlimited source; it did not prove the whole doctrine of God from participation. Its relevant subtheorem is exact: if proper intrinsic constituents ground a whole’s actuality, an absolutely underived source has no such constituents.</w:t>
      </w:r>
    </w:p>
    <w:p>
      <w:pPr>
        <w:pStyle w:val="BodyText"/>
      </w:pPr>
      <w:r>
        <w:t xml:space="preserve">The broader simplicity inquiry asks what could still make that source actual, one, existent, determinate, or perfect. Its six classical accomplishments examine different kinds of proposed conditioning. They form a cumulative case with substantive metaphysical premises. They do not identify every distinction with a part, or every source-relative fact with an acquired divine perfection.</w:t>
      </w:r>
    </w:p>
    <w:p>
      <w:pPr>
        <w:pStyle w:val="BodyText"/>
      </w:pPr>
      <w:r>
        <w:t xml:space="preserve">The positive aim matters just as much. Being determinate is different from being made determinate by something more basic. If wisdom belongs to the source, simplicity asks how it belongs without an added actualizer. Wisdom and power can differ in meaning while having one concrete divine</w:t>
      </w:r>
      <w:r>
        <w:t xml:space="preserve"> </w:t>
      </w:r>
      <w:hyperlink r:id="rId25">
        <w:r>
          <w:rPr>
            <w:rStyle w:val="Hyperlink"/>
          </w:rPr>
          <w:t xml:space="preserve">realization</w:t>
        </w:r>
      </w:hyperlink>
      <w:r>
        <w:t xml:space="preserve">. That possibility preserves meaningful</w:t>
      </w:r>
      <w:r>
        <w:t xml:space="preserve"> </w:t>
      </w:r>
      <w:hyperlink r:id="rId68">
        <w:r>
          <w:rPr>
            <w:rStyle w:val="Hyperlink"/>
          </w:rPr>
          <w:t xml:space="preserve">predication</w:t>
        </w:r>
      </w:hyperlink>
      <w:r>
        <w:t xml:space="preserve">; the actual possession of each perfection still needs its own argument.</w:t>
      </w:r>
    </w:p>
    <w:p>
      <w:pPr>
        <w:pStyle w:val="BodyText"/>
      </w:pPr>
      <w:r>
        <w:t xml:space="preserve">Freedom raises another question. A source could remain undivided and inexhaustible while necessarily producing one finite cosmos. A philosophy of creative agency must distinguish possible alternatives,</w:t>
      </w:r>
      <w:r>
        <w:t xml:space="preserve"> </w:t>
      </w:r>
      <w:hyperlink r:id="rId69">
        <w:r>
          <w:rPr>
            <w:rStyle w:val="Hyperlink"/>
          </w:rPr>
          <w:t xml:space="preserve">reasons</w:t>
        </w:r>
      </w:hyperlink>
      <w:r>
        <w:t xml:space="preserve"> </w:t>
      </w:r>
      <w:r>
        <w:t xml:space="preserve">for giving, the agent’s actual choice, and its successful execution. An intention’s infallible execution does not make the intention itself necessary.</w:t>
      </w:r>
    </w:p>
    <w:p>
      <w:pPr>
        <w:pStyle w:val="BodyText"/>
      </w:pPr>
      <w:r>
        <w:t xml:space="preserve">The constructive proposal treats a complete creative action as intentionally directed toward its effect. The source originates that direction; the finished world does not retrospectively supply it. The difficult claim is that different complete actions can differ relationally without requiring different intrinsic divine actualities. Noncomposition alone does not establish this stronger account.</w:t>
      </w:r>
    </w:p>
    <w:p>
      <w:pPr>
        <w:pStyle w:val="BodyText"/>
      </w:pPr>
      <w:r>
        <w:t xml:space="preserve">Knowledge adds a further requirement: an intelligent source must know its actual action and what that action accomplishes, not merely every possible plan.</w:t>
      </w:r>
      <w:r>
        <w:t xml:space="preserve"> </w:t>
      </w:r>
      <w:hyperlink r:id="rId49">
        <w:r>
          <w:rPr>
            <w:rStyle w:val="Hyperlink"/>
          </w:rPr>
          <w:t xml:space="preserve">Productive knowledge</w:t>
        </w:r>
      </w:hyperlink>
      <w:r>
        <w:t xml:space="preserve"> </w:t>
      </w:r>
      <w:r>
        <w:t xml:space="preserve">explains a created effect through the agent’s warranted awareness of its efficacious intention. Its scope extends only as far as that awareness adequately discloses the effect.</w:t>
      </w:r>
    </w:p>
    <w:p>
      <w:pPr>
        <w:pStyle w:val="BodyText"/>
      </w:pPr>
      <w:r>
        <w:t xml:space="preserve">The historical resources are exemplary at different joints. Aquinas and Anselm sharpen</w:t>
      </w:r>
      <w:r>
        <w:t xml:space="preserve"> </w:t>
      </w:r>
      <w:hyperlink r:id="rId26">
        <w:r>
          <w:rPr>
            <w:rStyle w:val="Hyperlink"/>
          </w:rPr>
          <w:t xml:space="preserve">constitution</w:t>
        </w:r>
      </w:hyperlink>
      <w:r>
        <w:t xml:space="preserve"> </w:t>
      </w:r>
      <w:r>
        <w:t xml:space="preserve">and rational action; Scotus sharpens live</w:t>
      </w:r>
      <w:r>
        <w:t xml:space="preserve"> </w:t>
      </w:r>
      <w:hyperlink r:id="rId70">
        <w:r>
          <w:rPr>
            <w:rStyle w:val="Hyperlink"/>
          </w:rPr>
          <w:t xml:space="preserve">contingency</w:t>
        </w:r>
      </w:hyperlink>
      <w:r>
        <w:t xml:space="preserve">; Augustine and Maximus connect exemplar intelligence with determinate possibilities; Dionysius, Bonaventure, Nyssa, Eriugena, and Przywara preserve communication without exhaustion. Newman supplies an analogical test of continuity. The final synthesis is ours: its value depends on what its bridges explain and which rivals they actually exclude.</w:t>
      </w:r>
    </w:p>
    <w:p>
      <w:pPr>
        <w:pStyle w:val="BlockText"/>
      </w:pPr>
      <w:r>
        <w:t xml:space="preserve">What would establish that an underived source is simple without being empty, and freely knows and causes this creation without receiving perfection from it? Which further principle would explain different complete creative actions if the source’s intrinsic actuality remains the same?</w:t>
      </w:r>
    </w:p>
    <w:p>
      <w:pPr>
        <w:pStyle w:val="FirstParagraph"/>
      </w:pPr>
      <w:r>
        <w:rPr>
          <w:b/>
          <w:bCs/>
        </w:rPr>
        <w:t xml:space="preserve">The stress test.</w:t>
      </w:r>
      <w:r>
        <w:t xml:space="preserve"> </w:t>
      </w:r>
      <w:r>
        <w:t xml:space="preserve">How could a source satisfy the defended simplicity claims and freely cause this creation without constitutive or receptive dependence upon it? The claim that God’s intrinsic actuality is the same across possible created outcomes needs a separate defense.</w:t>
      </w:r>
    </w:p>
    <w:p>
      <w:pPr>
        <w:pStyle w:val="BodyText"/>
      </w:pPr>
      <w:r>
        <w:t xml:space="preserve">Conditional philosophy and constructive development; no claim of source-existence proof, universally accepted model, or ecclesial definition.</w:t>
      </w:r>
    </w:p>
    <w:p>
      <w:pPr>
        <w:pStyle w:val="BodyText"/>
      </w:pPr>
      <w:r>
        <w:t xml:space="preserve">01 / INHERITANCE</w:t>
      </w:r>
    </w:p>
    <w:bookmarkStart w:id="71" w:name="what-part-i-actually-gives-us."/>
    <w:p>
      <w:pPr>
        <w:pStyle w:val="Heading2"/>
      </w:pPr>
      <w:r>
        <w:t xml:space="preserve">What Part I actually gives us.</w:t>
      </w:r>
    </w:p>
    <w:p>
      <w:pPr>
        <w:pStyle w:val="FirstParagraph"/>
      </w:pPr>
      <w:r>
        <w:t xml:space="preserve">Inherited results retain their premises. The source’s existence, universality, and positive perfections require arguments beyond the participation model.</w:t>
      </w:r>
    </w:p>
    <w:bookmarkEnd w:id="71"/>
    <w:p>
      <w:pPr>
        <w:pStyle w:val="BodyText"/>
      </w:pPr>
      <w:r>
        <w:t xml:space="preserve">Inherited premises</w:t>
      </w:r>
    </w:p>
    <w:p>
      <w:pPr>
        <w:pStyle w:val="BodyText"/>
      </w:pPr>
      <w:r>
        <w:t xml:space="preserve">G and CP yield present created dependence; Q supplies the qualitative bridge required for causal likeness; U excludes constitutive</w:t>
      </w:r>
      <w:r>
        <w:t xml:space="preserve"> </w:t>
      </w:r>
      <w:hyperlink r:id="rId61">
        <w:r>
          <w:rPr>
            <w:rStyle w:val="Hyperlink"/>
          </w:rPr>
          <w:t xml:space="preserve">grounding</w:t>
        </w:r>
      </w:hyperlink>
      <w:r>
        <w:t xml:space="preserve"> </w:t>
      </w:r>
      <w:r>
        <w:t xml:space="preserve">of the source. KD + U yield noncomposition. KH + FS + FC exclude the unlimited source as a constituent of bounded created actuality. Each conclusion answers a particular question. Dependence does not supply likeness, and likeness does not establish identity.</w:t>
      </w:r>
    </w:p>
    <w:p>
      <w:pPr>
        <w:pStyle w:val="BodyText"/>
      </w:pPr>
      <w:r>
        <w:t xml:space="preserve">A local underived ground would not yet establish one universal source. That ascent needs</w:t>
      </w:r>
      <w:r>
        <w:t xml:space="preserve"> </w:t>
      </w:r>
      <w:hyperlink r:id="rId72">
        <w:r>
          <w:rPr>
            <w:rStyle w:val="Hyperlink"/>
          </w:rPr>
          <w:t xml:space="preserve">explanatory completion</w:t>
        </w:r>
      </w:hyperlink>
      <w:r>
        <w:t xml:space="preserve">, an argument about the scope of existential dependence, and a separate uniqueness argument. This page inherits the universal source profile to investigate its implications. It neither proves that ascent nor treats “source” as a definition containing its conclusion.</w:t>
      </w:r>
    </w:p>
    <w:p>
      <w:pPr>
        <w:pStyle w:val="BodyText"/>
      </w:pPr>
      <w:r>
        <w:t xml:space="preserve">X is stronger than noncomposition: the source’s</w:t>
      </w:r>
      <w:r>
        <w:t xml:space="preserve"> </w:t>
      </w:r>
      <w:hyperlink r:id="rId73">
        <w:r>
          <w:rPr>
            <w:rStyle w:val="Hyperlink"/>
          </w:rPr>
          <w:t xml:space="preserve">intrinsic actuality</w:t>
        </w:r>
      </w:hyperlink>
      <w:r>
        <w:t xml:space="preserve"> </w:t>
      </w:r>
      <w:r>
        <w:t xml:space="preserve">remains the same across the possible created outcomes being considered. An intrinsic property could vary between possible worlds without being a part or being acquired in time. X excludes that variation, but supplies neither possible alternatives nor the actual direction of the source’s intention.</w:t>
      </w:r>
    </w:p>
    <w:bookmarkStart w:id="74" w:name="Xde033392ce66e996a9e42e4f369f5f3b5e1c481"/>
    <w:p>
      <w:pPr>
        <w:pStyle w:val="Heading3"/>
      </w:pPr>
      <w:r>
        <w:t xml:space="preserve">Inspect the inherited premises and actual dependencies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Premises</w:t>
            </w:r>
          </w:p>
        </w:tc>
        <w:tc>
          <w:tcPr>
            <w:tcW w:type="dxa" w:w="2749"/>
            <w:shd w:fill="EAE5DA"/>
          </w:tcPr>
          <w:p>
            <w:pPr>
              <w:pStyle w:val="BodyText"/>
              <w:keepNext w:val="0"/>
              <w:spacing w:after="80" w:line="252" w:lineRule="auto"/>
              <w:jc w:val="left"/>
            </w:pPr>
            <w:r>
              <w:rPr>
                <w:rFonts w:ascii="Calibri" w:hAnsi="Calibri"/>
                <w:b/>
                <w:sz w:val="17"/>
              </w:rPr>
              <w:t xml:space="preserve">Claim</w:t>
            </w:r>
          </w:p>
        </w:tc>
        <w:tc>
          <w:tcPr>
            <w:tcW w:type="dxa" w:w="2749"/>
            <w:shd w:fill="EAE5DA"/>
          </w:tcPr>
          <w:p>
            <w:pPr>
              <w:pStyle w:val="BodyText"/>
              <w:keepNext w:val="0"/>
              <w:spacing w:after="80" w:line="252" w:lineRule="auto"/>
              <w:jc w:val="left"/>
            </w:pPr>
            <w:r>
              <w:rPr>
                <w:rFonts w:ascii="Calibri" w:hAnsi="Calibri"/>
                <w:b/>
                <w:sz w:val="17"/>
              </w:rPr>
              <w:t xml:space="preserve">Status</w:t>
            </w:r>
          </w:p>
        </w:tc>
        <w:tc>
          <w:tcPr>
            <w:tcW w:type="dxa" w:w="2749"/>
            <w:shd w:fill="EAE5DA"/>
          </w:tcPr>
          <w:p>
            <w:pPr>
              <w:pStyle w:val="BodyText"/>
              <w:keepNext w:val="0"/>
              <w:spacing w:after="80" w:line="252" w:lineRule="auto"/>
              <w:jc w:val="left"/>
            </w:pPr>
            <w:r>
              <w:rPr>
                <w:rFonts w:ascii="Calibri" w:hAnsi="Calibri"/>
                <w:b/>
                <w:sz w:val="17"/>
              </w:rPr>
              <w:t xml:space="preserve">Boundary</w:t>
            </w:r>
          </w:p>
        </w:tc>
      </w:tr>
      <w:tr>
        <w:tc>
          <w:tcPr>
            <w:tcW w:type="dxa" w:w="1689"/>
          </w:tcPr>
          <w:p>
            <w:pPr>
              <w:pStyle w:val="BodyText"/>
              <w:keepNext w:val="0"/>
              <w:spacing w:after="80" w:line="252" w:lineRule="auto"/>
              <w:jc w:val="left"/>
            </w:pPr>
            <w:r>
              <w:rPr>
                <w:rFonts w:ascii="Calibri" w:hAnsi="Calibri"/>
                <w:sz w:val="17"/>
              </w:rPr>
              <w:t xml:space="preserve">G + CP</w:t>
            </w:r>
          </w:p>
        </w:tc>
        <w:tc>
          <w:tcPr>
            <w:tcW w:type="dxa" w:w="2749"/>
          </w:tcPr>
          <w:p>
            <w:pPr>
              <w:pStyle w:val="BodyText"/>
              <w:keepNext w:val="0"/>
              <w:spacing w:after="80" w:line="252" w:lineRule="auto"/>
              <w:jc w:val="left"/>
            </w:pPr>
            <w:r>
              <w:rPr>
                <w:rFonts w:ascii="Calibri" w:hAnsi="Calibri"/>
                <w:sz w:val="17"/>
              </w:rPr>
              <w:t xml:space="preserve">Present source dependence</w:t>
            </w:r>
          </w:p>
        </w:tc>
        <w:tc>
          <w:tcPr>
            <w:tcW w:type="dxa" w:w="2749"/>
          </w:tcPr>
          <w:p>
            <w:pPr>
              <w:pStyle w:val="BodyText"/>
              <w:keepNext w:val="0"/>
              <w:spacing w:after="80" w:line="252" w:lineRule="auto"/>
              <w:jc w:val="left"/>
            </w:pPr>
            <w:r>
              <w:rPr>
                <w:rFonts w:ascii="Calibri" w:hAnsi="Calibri"/>
                <w:sz w:val="17"/>
              </w:rPr>
              <w:t xml:space="preserve">Inherited premises</w:t>
            </w:r>
          </w:p>
        </w:tc>
        <w:tc>
          <w:tcPr>
            <w:tcW w:type="dxa" w:w="2749"/>
          </w:tcPr>
          <w:p>
            <w:pPr>
              <w:pStyle w:val="BodyText"/>
              <w:keepNext w:val="0"/>
              <w:spacing w:after="80" w:line="252" w:lineRule="auto"/>
              <w:jc w:val="left"/>
            </w:pPr>
            <w:r>
              <w:rPr>
                <w:rFonts w:ascii="Calibri" w:hAnsi="Calibri"/>
                <w:sz w:val="17"/>
              </w:rPr>
              <w:t xml:space="preserve">Universal sourcing and causal dependence are adopted, not proved by “participation.”</w:t>
            </w:r>
          </w:p>
        </w:tc>
      </w:tr>
      <w:tr>
        <w:tc>
          <w:tcPr>
            <w:tcW w:type="dxa" w:w="1689"/>
          </w:tcPr>
          <w:p>
            <w:pPr>
              <w:pStyle w:val="BodyText"/>
              <w:keepNext w:val="0"/>
              <w:spacing w:after="80" w:line="252" w:lineRule="auto"/>
              <w:jc w:val="left"/>
            </w:pPr>
            <w:r>
              <w:rPr>
                <w:rFonts w:ascii="Calibri" w:hAnsi="Calibri"/>
                <w:sz w:val="17"/>
              </w:rPr>
              <w:t xml:space="preserve">Q</w:t>
            </w:r>
          </w:p>
        </w:tc>
        <w:tc>
          <w:tcPr>
            <w:tcW w:type="dxa" w:w="2749"/>
          </w:tcPr>
          <w:p>
            <w:pPr>
              <w:pStyle w:val="BodyText"/>
              <w:keepNext w:val="0"/>
              <w:spacing w:after="80" w:line="252" w:lineRule="auto"/>
              <w:jc w:val="left"/>
            </w:pPr>
            <w:r>
              <w:rPr>
                <w:rFonts w:ascii="Calibri" w:hAnsi="Calibri"/>
                <w:sz w:val="17"/>
              </w:rPr>
              <w:t xml:space="preserve">Positive causal likeness</w:t>
            </w:r>
          </w:p>
        </w:tc>
        <w:tc>
          <w:tcPr>
            <w:tcW w:type="dxa" w:w="2749"/>
          </w:tcPr>
          <w:p>
            <w:pPr>
              <w:pStyle w:val="BodyText"/>
              <w:keepNext w:val="0"/>
              <w:spacing w:after="80" w:line="252" w:lineRule="auto"/>
              <w:jc w:val="left"/>
            </w:pPr>
            <w:r>
              <w:rPr>
                <w:rFonts w:ascii="Calibri" w:hAnsi="Calibri"/>
                <w:sz w:val="17"/>
              </w:rPr>
              <w:t xml:space="preserve">Inherited bridge</w:t>
            </w:r>
          </w:p>
        </w:tc>
        <w:tc>
          <w:tcPr>
            <w:tcW w:type="dxa" w:w="2749"/>
          </w:tcPr>
          <w:p>
            <w:pPr>
              <w:pStyle w:val="BodyText"/>
              <w:keepNext w:val="0"/>
              <w:spacing w:after="80" w:line="252" w:lineRule="auto"/>
              <w:jc w:val="left"/>
            </w:pPr>
            <w:r>
              <w:rPr>
                <w:rFonts w:ascii="Calibri" w:hAnsi="Calibri"/>
                <w:sz w:val="17"/>
              </w:rPr>
              <w:t xml:space="preserve">Does not turn efficient causation alone into resemblance.</w:t>
            </w:r>
          </w:p>
        </w:tc>
      </w:tr>
      <w:tr>
        <w:tc>
          <w:tcPr>
            <w:tcW w:type="dxa" w:w="1689"/>
          </w:tcPr>
          <w:p>
            <w:pPr>
              <w:pStyle w:val="BodyText"/>
              <w:keepNext w:val="0"/>
              <w:spacing w:after="80" w:line="252" w:lineRule="auto"/>
              <w:jc w:val="left"/>
            </w:pPr>
            <w:r>
              <w:rPr>
                <w:rFonts w:ascii="Calibri" w:hAnsi="Calibri"/>
                <w:sz w:val="17"/>
              </w:rPr>
              <w:t xml:space="preserve">U + KD</w:t>
            </w:r>
          </w:p>
        </w:tc>
        <w:tc>
          <w:tcPr>
            <w:tcW w:type="dxa" w:w="2749"/>
          </w:tcPr>
          <w:p>
            <w:pPr>
              <w:pStyle w:val="BodyText"/>
              <w:keepNext w:val="0"/>
              <w:spacing w:after="80" w:line="252" w:lineRule="auto"/>
              <w:jc w:val="left"/>
            </w:pPr>
            <w:r>
              <w:rPr>
                <w:rFonts w:ascii="Calibri" w:hAnsi="Calibri"/>
                <w:sz w:val="17"/>
              </w:rPr>
              <w:t xml:space="preserve">No proper intrinsic source constituents</w:t>
            </w:r>
          </w:p>
        </w:tc>
        <w:tc>
          <w:tcPr>
            <w:tcW w:type="dxa" w:w="2749"/>
          </w:tcPr>
          <w:p>
            <w:pPr>
              <w:pStyle w:val="BodyText"/>
              <w:keepNext w:val="0"/>
              <w:spacing w:after="80" w:line="252" w:lineRule="auto"/>
              <w:jc w:val="left"/>
            </w:pPr>
            <w:r>
              <w:rPr>
                <w:rFonts w:ascii="Calibri" w:hAnsi="Calibri"/>
                <w:sz w:val="17"/>
              </w:rPr>
              <w:t xml:space="preserve">Conditional result</w:t>
            </w:r>
          </w:p>
        </w:tc>
        <w:tc>
          <w:tcPr>
            <w:tcW w:type="dxa" w:w="2749"/>
          </w:tcPr>
          <w:p>
            <w:pPr>
              <w:pStyle w:val="BodyText"/>
              <w:keepNext w:val="0"/>
              <w:spacing w:after="80" w:line="252" w:lineRule="auto"/>
              <w:jc w:val="left"/>
            </w:pPr>
            <w:r>
              <w:rPr>
                <w:rFonts w:ascii="Calibri" w:hAnsi="Calibri"/>
                <w:sz w:val="17"/>
              </w:rPr>
              <w:t xml:space="preserve">KD’s constitution–dependence principle remains a philosophical burden.</w:t>
            </w:r>
          </w:p>
        </w:tc>
      </w:tr>
      <w:tr>
        <w:tc>
          <w:tcPr>
            <w:tcW w:type="dxa" w:w="1689"/>
          </w:tcPr>
          <w:p>
            <w:pPr>
              <w:pStyle w:val="BodyText"/>
              <w:keepNext w:val="0"/>
              <w:spacing w:after="80" w:line="252" w:lineRule="auto"/>
              <w:jc w:val="left"/>
            </w:pPr>
            <w:r>
              <w:rPr>
                <w:rFonts w:ascii="Calibri" w:hAnsi="Calibri"/>
                <w:sz w:val="17"/>
              </w:rPr>
              <w:t xml:space="preserve">KH + FS + FC</w:t>
            </w:r>
          </w:p>
        </w:tc>
        <w:tc>
          <w:tcPr>
            <w:tcW w:type="dxa" w:w="2749"/>
          </w:tcPr>
          <w:p>
            <w:pPr>
              <w:pStyle w:val="BodyText"/>
              <w:keepNext w:val="0"/>
              <w:spacing w:after="80" w:line="252" w:lineRule="auto"/>
              <w:jc w:val="left"/>
            </w:pPr>
            <w:r>
              <w:rPr>
                <w:rFonts w:ascii="Calibri" w:hAnsi="Calibri"/>
                <w:sz w:val="17"/>
              </w:rPr>
              <w:t xml:space="preserve">Source is no finite creature’s constituent</w:t>
            </w:r>
          </w:p>
        </w:tc>
        <w:tc>
          <w:tcPr>
            <w:tcW w:type="dxa" w:w="2749"/>
          </w:tcPr>
          <w:p>
            <w:pPr>
              <w:pStyle w:val="BodyText"/>
              <w:keepNext w:val="0"/>
              <w:spacing w:after="80" w:line="252" w:lineRule="auto"/>
              <w:jc w:val="left"/>
            </w:pPr>
            <w:r>
              <w:rPr>
                <w:rFonts w:ascii="Calibri" w:hAnsi="Calibri"/>
                <w:sz w:val="17"/>
              </w:rPr>
              <w:t xml:space="preserve">Conditional result</w:t>
            </w:r>
          </w:p>
        </w:tc>
        <w:tc>
          <w:tcPr>
            <w:tcW w:type="dxa" w:w="2749"/>
          </w:tcPr>
          <w:p>
            <w:pPr>
              <w:pStyle w:val="BodyText"/>
              <w:keepNext w:val="0"/>
              <w:spacing w:after="80" w:line="252" w:lineRule="auto"/>
              <w:jc w:val="left"/>
            </w:pPr>
            <w:r>
              <w:rPr>
                <w:rFonts w:ascii="Calibri" w:hAnsi="Calibri"/>
                <w:sz w:val="17"/>
              </w:rPr>
              <w:t xml:space="preserve">Different from merely saying that God has no parts.</w:t>
            </w:r>
          </w:p>
        </w:tc>
      </w:tr>
      <w:tr>
        <w:tc>
          <w:tcPr>
            <w:tcW w:type="dxa" w:w="1689"/>
          </w:tcPr>
          <w:p>
            <w:pPr>
              <w:pStyle w:val="BodyText"/>
              <w:keepNext w:val="0"/>
              <w:spacing w:after="80" w:line="252" w:lineRule="auto"/>
              <w:jc w:val="left"/>
            </w:pPr>
            <w:r>
              <w:rPr>
                <w:rFonts w:ascii="Calibri" w:hAnsi="Calibri"/>
                <w:sz w:val="17"/>
              </w:rPr>
              <w:t xml:space="preserve">FS / FC</w:t>
            </w:r>
          </w:p>
        </w:tc>
        <w:tc>
          <w:tcPr>
            <w:tcW w:type="dxa" w:w="2749"/>
          </w:tcPr>
          <w:p>
            <w:pPr>
              <w:pStyle w:val="BodyText"/>
              <w:keepNext w:val="0"/>
              <w:spacing w:after="80" w:line="252" w:lineRule="auto"/>
              <w:jc w:val="left"/>
            </w:pPr>
            <w:r>
              <w:rPr>
                <w:rFonts w:ascii="Calibri" w:hAnsi="Calibri"/>
                <w:sz w:val="17"/>
              </w:rPr>
              <w:t xml:space="preserve">Unbounded source / bounded created actuality</w:t>
            </w:r>
          </w:p>
        </w:tc>
        <w:tc>
          <w:tcPr>
            <w:tcW w:type="dxa" w:w="2749"/>
          </w:tcPr>
          <w:p>
            <w:pPr>
              <w:pStyle w:val="BodyText"/>
              <w:keepNext w:val="0"/>
              <w:spacing w:after="80" w:line="252" w:lineRule="auto"/>
              <w:jc w:val="left"/>
            </w:pPr>
            <w:r>
              <w:rPr>
                <w:rFonts w:ascii="Calibri" w:hAnsi="Calibri"/>
                <w:sz w:val="17"/>
              </w:rPr>
              <w:t xml:space="preserve">Inherited profile</w:t>
            </w:r>
          </w:p>
        </w:tc>
        <w:tc>
          <w:tcPr>
            <w:tcW w:type="dxa" w:w="2749"/>
          </w:tcPr>
          <w:p>
            <w:pPr>
              <w:pStyle w:val="BodyText"/>
              <w:keepNext w:val="0"/>
              <w:spacing w:after="80" w:line="252" w:lineRule="auto"/>
              <w:jc w:val="left"/>
            </w:pPr>
            <w:r>
              <w:rPr>
                <w:rFonts w:ascii="Calibri" w:hAnsi="Calibri"/>
                <w:sz w:val="17"/>
              </w:rPr>
              <w:t xml:space="preserve">Respect e; unlimited intellect requires another argument.</w:t>
            </w:r>
          </w:p>
        </w:tc>
      </w:tr>
      <w:tr>
        <w:tc>
          <w:tcPr>
            <w:tcW w:type="dxa" w:w="1689"/>
          </w:tcPr>
          <w:p>
            <w:pPr>
              <w:pStyle w:val="BodyText"/>
              <w:keepNext w:val="0"/>
              <w:spacing w:after="80" w:line="252" w:lineRule="auto"/>
              <w:jc w:val="left"/>
            </w:pPr>
            <w:r>
              <w:rPr>
                <w:rFonts w:ascii="Calibri" w:hAnsi="Calibri"/>
                <w:sz w:val="17"/>
              </w:rPr>
              <w:t xml:space="preserve">X</w:t>
            </w:r>
          </w:p>
        </w:tc>
        <w:tc>
          <w:tcPr>
            <w:tcW w:type="dxa" w:w="2749"/>
          </w:tcPr>
          <w:p>
            <w:pPr>
              <w:pStyle w:val="BodyText"/>
              <w:keepNext w:val="0"/>
              <w:spacing w:after="80" w:line="252" w:lineRule="auto"/>
              <w:jc w:val="left"/>
            </w:pPr>
            <w:r>
              <w:rPr>
                <w:rFonts w:ascii="Calibri" w:hAnsi="Calibri"/>
                <w:sz w:val="17"/>
              </w:rPr>
              <w:t xml:space="preserve">Same intrinsic actuality across possible outcomes</w:t>
            </w:r>
          </w:p>
        </w:tc>
        <w:tc>
          <w:tcPr>
            <w:tcW w:type="dxa" w:w="2749"/>
          </w:tcPr>
          <w:p>
            <w:pPr>
              <w:pStyle w:val="BodyText"/>
              <w:keepNext w:val="0"/>
              <w:spacing w:after="80" w:line="252" w:lineRule="auto"/>
              <w:jc w:val="left"/>
            </w:pPr>
            <w:r>
              <w:rPr>
                <w:rFonts w:ascii="Calibri" w:hAnsi="Calibri"/>
                <w:sz w:val="17"/>
              </w:rPr>
              <w:t xml:space="preserve">Inherited extension</w:t>
            </w:r>
          </w:p>
        </w:tc>
        <w:tc>
          <w:tcPr>
            <w:tcW w:type="dxa" w:w="2749"/>
          </w:tcPr>
          <w:p>
            <w:pPr>
              <w:pStyle w:val="BodyText"/>
              <w:keepNext w:val="0"/>
              <w:spacing w:after="80" w:line="252" w:lineRule="auto"/>
              <w:jc w:val="left"/>
            </w:pPr>
            <w:r>
              <w:rPr>
                <w:rFonts w:ascii="Calibri" w:hAnsi="Calibri"/>
                <w:sz w:val="17"/>
              </w:rPr>
              <w:t xml:space="preserve">Does not establish those alternatives or explain a particular intention.</w:t>
            </w:r>
          </w:p>
        </w:tc>
      </w:tr>
      <w:tr>
        <w:tc>
          <w:tcPr>
            <w:tcW w:type="dxa" w:w="1689"/>
          </w:tcPr>
          <w:p>
            <w:pPr>
              <w:pStyle w:val="BodyText"/>
              <w:keepNext w:val="0"/>
              <w:spacing w:after="80" w:line="252" w:lineRule="auto"/>
              <w:jc w:val="left"/>
            </w:pPr>
            <w:r>
              <w:rPr>
                <w:rFonts w:ascii="Calibri" w:hAnsi="Calibri"/>
                <w:sz w:val="17"/>
              </w:rPr>
              <w:t xml:space="preserve">V / W</w:t>
            </w:r>
          </w:p>
        </w:tc>
        <w:tc>
          <w:tcPr>
            <w:tcW w:type="dxa" w:w="2749"/>
          </w:tcPr>
          <w:p>
            <w:pPr>
              <w:pStyle w:val="BodyText"/>
              <w:keepNext w:val="0"/>
              <w:spacing w:after="80" w:line="252" w:lineRule="auto"/>
              <w:jc w:val="left"/>
            </w:pPr>
            <w:r>
              <w:rPr>
                <w:rFonts w:ascii="Calibri" w:hAnsi="Calibri"/>
                <w:sz w:val="17"/>
              </w:rPr>
              <w:t xml:space="preserve">No-creation alternatives / intelligent selection</w:t>
            </w:r>
          </w:p>
        </w:tc>
        <w:tc>
          <w:tcPr>
            <w:tcW w:type="dxa" w:w="2749"/>
          </w:tcPr>
          <w:p>
            <w:pPr>
              <w:pStyle w:val="BodyText"/>
              <w:keepNext w:val="0"/>
              <w:spacing w:after="80" w:line="252" w:lineRule="auto"/>
              <w:jc w:val="left"/>
            </w:pPr>
            <w:r>
              <w:rPr>
                <w:rFonts w:ascii="Calibri" w:hAnsi="Calibri"/>
                <w:sz w:val="17"/>
              </w:rPr>
              <w:t xml:space="preserve">Earlier optional extensions</w:t>
            </w:r>
          </w:p>
        </w:tc>
        <w:tc>
          <w:tcPr>
            <w:tcW w:type="dxa" w:w="2749"/>
          </w:tcPr>
          <w:p>
            <w:pPr>
              <w:pStyle w:val="BodyText"/>
              <w:keepNext w:val="0"/>
              <w:spacing w:after="80" w:line="252" w:lineRule="auto"/>
              <w:jc w:val="left"/>
            </w:pPr>
            <w:r>
              <w:rPr>
                <w:rFonts w:ascii="Calibri" w:hAnsi="Calibri"/>
                <w:sz w:val="17"/>
              </w:rPr>
              <w:t xml:space="preserve">They remain added commitments to be analyzed here.</w:t>
            </w:r>
          </w:p>
        </w:tc>
      </w:tr>
    </w:tbl>
    <w:bookmarkEnd w:id="74"/>
    <w:p>
      <w:pPr>
        <w:pStyle w:val="BodyText"/>
      </w:pPr>
      <w:r>
        <w:rPr>
          <w:b/>
          <w:bCs/>
        </w:rPr>
        <w:t xml:space="preserve">An alternate route discovered in the audit.</w:t>
      </w:r>
      <w:r>
        <w:t xml:space="preserve"> </w:t>
      </w:r>
      <w:r>
        <w:t xml:space="preserve">In the sparse domain where every actual other is created, a no-creation world has no proper source constituents. If X preserves the entire constituent profile across all alternatives, noncomposition follows elsewhere too. This does not prove KD for all composites; it shows why deletion must check for retained substitutes.</w:t>
      </w:r>
    </w:p>
    <w:p>
      <w:pPr>
        <w:pStyle w:val="BodyText"/>
      </w:pPr>
      <w:r>
        <w:t xml:space="preserve">02 / SIMPLICITY</w:t>
      </w:r>
    </w:p>
    <w:bookmarkStart w:id="75" w:name="X2e2625d6932b7f6700577eddfcdfd4192b7e536"/>
    <w:p>
      <w:pPr>
        <w:pStyle w:val="Heading2"/>
      </w:pPr>
      <w:r>
        <w:t xml:space="preserve">Simplicity excludes conditioning. It preserves fullness.</w:t>
      </w:r>
    </w:p>
    <w:p>
      <w:pPr>
        <w:pStyle w:val="FirstParagraph"/>
      </w:pPr>
      <w:r>
        <w:t xml:space="preserve">The six accomplishments ask how the source could still receive what makes it actual, one, existent, determinate, or perfect. Their arguments must identify the dependence rather than assume it.</w:t>
      </w:r>
    </w:p>
    <w:bookmarkEnd w:id="75"/>
    <w:p>
      <w:pPr>
        <w:pStyle w:val="BodyText"/>
      </w:pPr>
      <w:r>
        <w:t xml:space="preserve">Conditional theorem</w:t>
      </w:r>
    </w:p>
    <w:p>
      <w:pPr>
        <w:pStyle w:val="BodyText"/>
      </w:pPr>
      <w:r>
        <w:t xml:space="preserve">Begin with the strongest simple objection: an efficiently uncaused reality might still be a brute composite. KD answers by claiming that proper intrinsic constituents ground the whole’s actuality. To defend it, identify what each proposed constituent contributes to what the whole actually is. A structure that makes no such contribution may be an analysis or a dependent feature of the whole, rather than a prior constituent. A</w:t>
      </w:r>
      <w:r>
        <w:t xml:space="preserve"> </w:t>
      </w:r>
      <w:hyperlink r:id="rId57">
        <w:r>
          <w:rPr>
            <w:rStyle w:val="Hyperlink"/>
          </w:rPr>
          <w:t xml:space="preserve">whole-priority</w:t>
        </w:r>
      </w:hyperlink>
      <w:r>
        <w:t xml:space="preserve"> </w:t>
      </w:r>
      <w:r>
        <w:t xml:space="preserve">theorist can dispute the direction of grounding; that is the substantive disagreement.</w:t>
      </w:r>
    </w:p>
    <w:p>
      <w:pPr>
        <w:pStyle w:val="BodyText"/>
      </w:pPr>
      <w:r>
        <w:t xml:space="preserve">The six accomplishments extend this audit.</w:t>
      </w:r>
      <w:r>
        <w:t xml:space="preserve"> </w:t>
      </w:r>
      <w:hyperlink r:id="rId76">
        <w:r>
          <w:rPr>
            <w:rStyle w:val="Hyperlink"/>
          </w:rPr>
          <w:t xml:space="preserve">Pure actuality</w:t>
        </w:r>
      </w:hyperlink>
      <w:r>
        <w:t xml:space="preserve"> </w:t>
      </w:r>
      <w:r>
        <w:t xml:space="preserve">examines receptive actualization; non-derivative</w:t>
      </w:r>
      <w:r>
        <w:t xml:space="preserve"> </w:t>
      </w:r>
      <w:hyperlink r:id="rId58">
        <w:r>
          <w:rPr>
            <w:rStyle w:val="Hyperlink"/>
          </w:rPr>
          <w:t xml:space="preserve">unity</w:t>
        </w:r>
      </w:hyperlink>
      <w:r>
        <w:t xml:space="preserve"> </w:t>
      </w:r>
      <w:r>
        <w:t xml:space="preserve">examines unification by prior principles; anti-</w:t>
      </w:r>
      <w:hyperlink r:id="rId77">
        <w:r>
          <w:rPr>
            <w:rStyle w:val="Hyperlink"/>
          </w:rPr>
          <w:t xml:space="preserve">composition</w:t>
        </w:r>
      </w:hyperlink>
      <w:r>
        <w:t xml:space="preserve"> </w:t>
      </w:r>
      <w:r>
        <w:t xml:space="preserve">examines constitutive grounding; transcendence of genus examines</w:t>
      </w:r>
      <w:r>
        <w:t xml:space="preserve"> </w:t>
      </w:r>
      <w:hyperlink r:id="rId24">
        <w:r>
          <w:rPr>
            <w:rStyle w:val="Hyperlink"/>
          </w:rPr>
          <w:t xml:space="preserve">determination</w:t>
        </w:r>
      </w:hyperlink>
      <w:r>
        <w:t xml:space="preserve"> </w:t>
      </w:r>
      <w:r>
        <w:t xml:space="preserve">by a wider constitutive kind; essence–existence identity examines received existential actuality;</w:t>
      </w:r>
      <w:r>
        <w:t xml:space="preserve"> </w:t>
      </w:r>
      <w:hyperlink r:id="rId78">
        <w:r>
          <w:rPr>
            <w:rStyle w:val="Hyperlink"/>
          </w:rPr>
          <w:t xml:space="preserve">attribute simplicity</w:t>
        </w:r>
      </w:hyperlink>
      <w:r>
        <w:t xml:space="preserve"> </w:t>
      </w:r>
      <w:r>
        <w:t xml:space="preserve">examines perfections that would complete an underlying divine subject. These routes overlap and carry different premises. They are a historically deep cumulative case, not six premise-neutral proofs.</w:t>
      </w:r>
    </w:p>
    <w:p>
      <w:pPr>
        <w:pStyle w:val="BodyText"/>
      </w:pPr>
      <w:r>
        <w:t xml:space="preserve">Their common negative result is precise: nothing more basic supplies the source with the actuality, unity, existence, determination, or perfection by which it is ultimate. The positive argument begins only when a perfection is independently warranted. If possessing that perfection required a distinct intrinsic actualizer that perfected the source, its possession would be received.</w:t>
      </w:r>
      <w:r>
        <w:t xml:space="preserve"> </w:t>
      </w:r>
      <w:hyperlink r:id="rId33">
        <w:r>
          <w:rPr>
            <w:rStyle w:val="Hyperlink"/>
          </w:rPr>
          <w:t xml:space="preserve">Underivation</w:t>
        </w:r>
      </w:hyperlink>
      <w:r>
        <w:t xml:space="preserve"> </w:t>
      </w:r>
      <w:r>
        <w:t xml:space="preserve">excludes that receiving structure. This gives perfection without</w:t>
      </w:r>
      <w:r>
        <w:t xml:space="preserve"> </w:t>
      </w:r>
      <w:hyperlink r:id="rId79">
        <w:r>
          <w:rPr>
            <w:rStyle w:val="Hyperlink"/>
          </w:rPr>
          <w:t xml:space="preserve">reception</w:t>
        </w:r>
      </w:hyperlink>
      <w:r>
        <w:t xml:space="preserve">; it does not discover a seventh independent simplicity accomplishment.</w:t>
      </w:r>
    </w:p>
    <w:p>
      <w:pPr>
        <w:pStyle w:val="BodyText"/>
      </w:pPr>
      <w:r>
        <w:t xml:space="preserve">Nor does it manufacture the perfection itself. An argument for intelligence must establish intelligence; an argument for goodness must establish goodness. Simplicity then disciplines their mode of possession. Wisdom and power need not be synonyms to have one concrete realization. Conversely, merely showing that one realization can answer several descriptions does not prove that every divine perfection is realized in this way.</w:t>
      </w:r>
    </w:p>
    <w:p>
      <w:pPr>
        <w:pStyle w:val="BodyText"/>
      </w:pPr>
      <w:hyperlink r:id="rId54">
        <w:r>
          <w:rPr>
            <w:rStyle w:val="Hyperlink"/>
          </w:rPr>
          <w:t xml:space="preserve">Plenitude</w:t>
        </w:r>
      </w:hyperlink>
      <w:r>
        <w:t xml:space="preserve"> </w:t>
      </w:r>
      <w:r>
        <w:t xml:space="preserve">is this positive possession without completion by something more basic. It means neither featureless unity nor an inventory of acquired attributes. For finite goods whose complete character includes learning, embodiment, danger, or growth, the argument must distinguish their positive achievement from their receptive conditions. A creature’s good can remain genuinely creaturely without every element of its description being transferred to God.</w:t>
      </w:r>
    </w:p>
    <w:p>
      <w:pPr>
        <w:pStyle w:val="BodyText"/>
      </w:pPr>
      <w:r>
        <w:t xml:space="preserve">The audit leaves real questions. Scotist formalities, Palamite energies, and subsistent relations cannot be classified as parts by definition. In Trinitarian theology, the Son’s origin from the Father is not the reception of a missing divine perfection: unreceived divine actuality must not be confused with the Father’s personal unbegottenness. That distinction is doctrinally supplied; natural simplicity does not deduce the persons.</w:t>
      </w:r>
    </w:p>
    <w:p>
      <w:pPr>
        <w:pStyle w:val="BodyText"/>
      </w:pPr>
      <w:r>
        <w:t xml:space="preserve">Noncomposition, temporal changelessness, and identical intrinsic actuality across possible worlds remain separate claims. A noncomposite agent could have different intrinsic intentions in alternative possible situations without acquiring a part in time. Excluding this rival requires X and its independent defense.</w:t>
      </w:r>
    </w:p>
    <w:p>
      <w:pPr>
        <w:pStyle w:val="SourceCode"/>
      </w:pPr>
      <w:r>
        <w:rPr>
          <w:rStyle w:val="VerbatimChar"/>
        </w:rPr>
        <w:t xml:space="preserve">K(z,g) ⇒ D(g,z,e), by KD.</w:t>
      </w:r>
      <w:r>
        <w:br/>
      </w:r>
      <w:r>
        <w:rPr>
          <w:rStyle w:val="VerbatimChar"/>
        </w:rPr>
        <w:t xml:space="preserve">U(g) ⇒ ¬D(g,z,e).</w:t>
      </w:r>
      <w:r>
        <w:br/>
      </w:r>
      <w:r>
        <w:rPr>
          <w:rStyle w:val="VerbatimChar"/>
        </w:rPr>
        <w:t xml:space="preserve">Therefore ¬∃z K(z,g).</w:t>
      </w:r>
      <w:r>
        <w:br/>
      </w:r>
      <w:r>
        <w:rPr>
          <w:rStyle w:val="VerbatimChar"/>
        </w:rPr>
        <w:t xml:space="preserve">No inference here identifies every real distinction with K.</w:t>
      </w:r>
    </w:p>
    <w:bookmarkStart w:id="80" w:name="X92ed77ae0d9d063dd5ce6fab79ef5078c8d04b8"/>
    <w:p>
      <w:pPr>
        <w:pStyle w:val="Heading3"/>
      </w:pPr>
      <w:r>
        <w:t xml:space="preserve">Examine the stronger simplicity claims one by one</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Proposed structure</w:t>
            </w:r>
          </w:p>
        </w:tc>
        <w:tc>
          <w:tcPr>
            <w:tcW w:type="dxa" w:w="2749"/>
            <w:shd w:fill="EAE5DA"/>
          </w:tcPr>
          <w:p>
            <w:pPr>
              <w:pStyle w:val="BodyText"/>
              <w:keepNext w:val="0"/>
              <w:spacing w:after="80" w:line="252" w:lineRule="auto"/>
              <w:jc w:val="left"/>
            </w:pPr>
            <w:r>
              <w:rPr>
                <w:rFonts w:ascii="Calibri" w:hAnsi="Calibri"/>
                <w:b/>
                <w:sz w:val="17"/>
              </w:rPr>
              <w:t xml:space="preserve">Required bridge</w:t>
            </w:r>
          </w:p>
        </w:tc>
        <w:tc>
          <w:tcPr>
            <w:tcW w:type="dxa" w:w="2749"/>
            <w:shd w:fill="EAE5DA"/>
          </w:tcPr>
          <w:p>
            <w:pPr>
              <w:pStyle w:val="BodyText"/>
              <w:keepNext w:val="0"/>
              <w:spacing w:after="80" w:line="252" w:lineRule="auto"/>
              <w:jc w:val="left"/>
            </w:pPr>
            <w:r>
              <w:rPr>
                <w:rFonts w:ascii="Calibri" w:hAnsi="Calibri"/>
                <w:b/>
                <w:sz w:val="17"/>
              </w:rPr>
              <w:t xml:space="preserve">Result / scope</w:t>
            </w:r>
          </w:p>
        </w:tc>
        <w:tc>
          <w:tcPr>
            <w:tcW w:type="dxa" w:w="2749"/>
            <w:shd w:fill="EAE5DA"/>
          </w:tcPr>
          <w:p>
            <w:pPr>
              <w:pStyle w:val="BodyText"/>
              <w:keepNext w:val="0"/>
              <w:spacing w:after="80" w:line="252" w:lineRule="auto"/>
              <w:jc w:val="left"/>
            </w:pPr>
            <w:r>
              <w:rPr>
                <w:rFonts w:ascii="Calibri" w:hAnsi="Calibri"/>
                <w:b/>
                <w:sz w:val="17"/>
              </w:rPr>
              <w:t xml:space="preserve">Remaining distinction</w:t>
            </w:r>
          </w:p>
        </w:tc>
      </w:tr>
      <w:tr>
        <w:tc>
          <w:tcPr>
            <w:tcW w:type="dxa" w:w="1689"/>
          </w:tcPr>
          <w:p>
            <w:pPr>
              <w:pStyle w:val="BodyText"/>
              <w:keepNext w:val="0"/>
              <w:spacing w:after="80" w:line="252" w:lineRule="auto"/>
              <w:jc w:val="left"/>
            </w:pPr>
            <w:r>
              <w:rPr>
                <w:rFonts w:ascii="Calibri" w:hAnsi="Calibri"/>
                <w:sz w:val="17"/>
              </w:rPr>
              <w:t xml:space="preserve">1. Pure actuality</w:t>
            </w:r>
          </w:p>
        </w:tc>
        <w:tc>
          <w:tcPr>
            <w:tcW w:type="dxa" w:w="2749"/>
          </w:tcPr>
          <w:p>
            <w:pPr>
              <w:pStyle w:val="BodyText"/>
              <w:keepNext w:val="0"/>
              <w:spacing w:after="80" w:line="252" w:lineRule="auto"/>
              <w:jc w:val="left"/>
            </w:pPr>
            <w:r>
              <w:rPr>
                <w:rFonts w:ascii="Calibri" w:hAnsi="Calibri"/>
                <w:sz w:val="17"/>
              </w:rPr>
              <w:t xml:space="preserve">Receptive potency requires actuality from an actualizer</w:t>
            </w:r>
          </w:p>
        </w:tc>
        <w:tc>
          <w:tcPr>
            <w:tcW w:type="dxa" w:w="2749"/>
          </w:tcPr>
          <w:p>
            <w:pPr>
              <w:pStyle w:val="BodyText"/>
              <w:keepNext w:val="0"/>
              <w:spacing w:after="80" w:line="252" w:lineRule="auto"/>
              <w:jc w:val="left"/>
            </w:pPr>
            <w:r>
              <w:rPr>
                <w:rFonts w:ascii="Calibri" w:hAnsi="Calibri"/>
                <w:sz w:val="17"/>
              </w:rPr>
              <w:t xml:space="preserve">Excluded where it makes the source actual through what it receives</w:t>
            </w:r>
          </w:p>
        </w:tc>
        <w:tc>
          <w:tcPr>
            <w:tcW w:type="dxa" w:w="2749"/>
          </w:tcPr>
          <w:p>
            <w:pPr>
              <w:pStyle w:val="BodyText"/>
              <w:keepNext w:val="0"/>
              <w:spacing w:after="80" w:line="252" w:lineRule="auto"/>
              <w:jc w:val="left"/>
            </w:pPr>
            <w:r>
              <w:rPr>
                <w:rFonts w:ascii="Calibri" w:hAnsi="Calibri"/>
                <w:sz w:val="17"/>
              </w:rPr>
              <w:t xml:space="preserve">Active power for optional effects is not passive incompleteness.</w:t>
            </w:r>
          </w:p>
        </w:tc>
      </w:tr>
      <w:tr>
        <w:tc>
          <w:tcPr>
            <w:tcW w:type="dxa" w:w="1689"/>
          </w:tcPr>
          <w:p>
            <w:pPr>
              <w:pStyle w:val="BodyText"/>
              <w:keepNext w:val="0"/>
              <w:spacing w:after="80" w:line="252" w:lineRule="auto"/>
              <w:jc w:val="left"/>
            </w:pPr>
            <w:r>
              <w:rPr>
                <w:rFonts w:ascii="Calibri" w:hAnsi="Calibri"/>
                <w:sz w:val="17"/>
              </w:rPr>
              <w:t xml:space="preserve">2. Non-derivative unity</w:t>
            </w:r>
          </w:p>
        </w:tc>
        <w:tc>
          <w:tcPr>
            <w:tcW w:type="dxa" w:w="2749"/>
          </w:tcPr>
          <w:p>
            <w:pPr>
              <w:pStyle w:val="BodyText"/>
              <w:keepNext w:val="0"/>
              <w:spacing w:after="80" w:line="252" w:lineRule="auto"/>
              <w:jc w:val="left"/>
            </w:pPr>
            <w:r>
              <w:rPr>
                <w:rFonts w:ascii="Calibri" w:hAnsi="Calibri"/>
                <w:sz w:val="17"/>
              </w:rPr>
              <w:t xml:space="preserve">Prior principles or their coordination supply the whole’s unity</w:t>
            </w:r>
          </w:p>
        </w:tc>
        <w:tc>
          <w:tcPr>
            <w:tcW w:type="dxa" w:w="2749"/>
          </w:tcPr>
          <w:p>
            <w:pPr>
              <w:pStyle w:val="BodyText"/>
              <w:keepNext w:val="0"/>
              <w:spacing w:after="80" w:line="252" w:lineRule="auto"/>
              <w:jc w:val="left"/>
            </w:pPr>
            <w:r>
              <w:rPr>
                <w:rFonts w:ascii="Calibri" w:hAnsi="Calibri"/>
                <w:sz w:val="17"/>
              </w:rPr>
              <w:t xml:space="preserve">Excluded where the source receives the unity by which it is one</w:t>
            </w:r>
          </w:p>
        </w:tc>
        <w:tc>
          <w:tcPr>
            <w:tcW w:type="dxa" w:w="2749"/>
          </w:tcPr>
          <w:p>
            <w:pPr>
              <w:pStyle w:val="BodyText"/>
              <w:keepNext w:val="0"/>
              <w:spacing w:after="80" w:line="252" w:lineRule="auto"/>
              <w:jc w:val="left"/>
            </w:pPr>
            <w:r>
              <w:rPr>
                <w:rFonts w:ascii="Calibri" w:hAnsi="Calibri"/>
                <w:sz w:val="17"/>
              </w:rPr>
              <w:t xml:space="preserve">Plural descriptions alone do not establish a unifying cause.</w:t>
            </w:r>
          </w:p>
        </w:tc>
      </w:tr>
      <w:tr>
        <w:tc>
          <w:tcPr>
            <w:tcW w:type="dxa" w:w="1689"/>
          </w:tcPr>
          <w:p>
            <w:pPr>
              <w:pStyle w:val="BodyText"/>
              <w:keepNext w:val="0"/>
              <w:spacing w:after="80" w:line="252" w:lineRule="auto"/>
              <w:jc w:val="left"/>
            </w:pPr>
            <w:r>
              <w:rPr>
                <w:rFonts w:ascii="Calibri" w:hAnsi="Calibri"/>
                <w:sz w:val="17"/>
              </w:rPr>
              <w:t xml:space="preserve">3. Anti-composition</w:t>
            </w:r>
          </w:p>
        </w:tc>
        <w:tc>
          <w:tcPr>
            <w:tcW w:type="dxa" w:w="2749"/>
          </w:tcPr>
          <w:p>
            <w:pPr>
              <w:pStyle w:val="BodyText"/>
              <w:keepNext w:val="0"/>
              <w:spacing w:after="80" w:line="252" w:lineRule="auto"/>
              <w:jc w:val="left"/>
            </w:pPr>
            <w:r>
              <w:rPr>
                <w:rFonts w:ascii="Calibri" w:hAnsi="Calibri"/>
                <w:sz w:val="17"/>
              </w:rPr>
              <w:t xml:space="preserve">KD: proper intrinsic constituents ground the whole’s actuality</w:t>
            </w:r>
          </w:p>
        </w:tc>
        <w:tc>
          <w:tcPr>
            <w:tcW w:type="dxa" w:w="2749"/>
          </w:tcPr>
          <w:p>
            <w:pPr>
              <w:pStyle w:val="BodyText"/>
              <w:keepNext w:val="0"/>
              <w:spacing w:after="80" w:line="252" w:lineRule="auto"/>
              <w:jc w:val="left"/>
            </w:pPr>
            <w:r>
              <w:rPr>
                <w:rFonts w:ascii="Calibri" w:hAnsi="Calibri"/>
                <w:sz w:val="17"/>
              </w:rPr>
              <w:t xml:space="preserve">U + KD exclude those constituents</w:t>
            </w:r>
          </w:p>
        </w:tc>
        <w:tc>
          <w:tcPr>
            <w:tcW w:type="dxa" w:w="2749"/>
          </w:tcPr>
          <w:p>
            <w:pPr>
              <w:pStyle w:val="BodyText"/>
              <w:keepNext w:val="0"/>
              <w:spacing w:after="80" w:line="252" w:lineRule="auto"/>
              <w:jc w:val="left"/>
            </w:pPr>
            <w:r>
              <w:rPr>
                <w:rFonts w:ascii="Calibri" w:hAnsi="Calibri"/>
                <w:sz w:val="17"/>
              </w:rPr>
              <w:t xml:space="preserve">Whole-priority and brute-unity rivals challenge this direction of grounding.</w:t>
            </w:r>
          </w:p>
        </w:tc>
      </w:tr>
      <w:tr>
        <w:tc>
          <w:tcPr>
            <w:tcW w:type="dxa" w:w="1689"/>
          </w:tcPr>
          <w:p>
            <w:pPr>
              <w:pStyle w:val="BodyText"/>
              <w:keepNext w:val="0"/>
              <w:spacing w:after="80" w:line="252" w:lineRule="auto"/>
              <w:jc w:val="left"/>
            </w:pPr>
            <w:r>
              <w:rPr>
                <w:rFonts w:ascii="Calibri" w:hAnsi="Calibri"/>
                <w:sz w:val="17"/>
              </w:rPr>
              <w:t xml:space="preserve">4. No constitutive genus</w:t>
            </w:r>
          </w:p>
        </w:tc>
        <w:tc>
          <w:tcPr>
            <w:tcW w:type="dxa" w:w="2749"/>
          </w:tcPr>
          <w:p>
            <w:pPr>
              <w:pStyle w:val="BodyText"/>
              <w:keepNext w:val="0"/>
              <w:spacing w:after="80" w:line="252" w:lineRule="auto"/>
              <w:jc w:val="left"/>
            </w:pPr>
            <w:r>
              <w:rPr>
                <w:rFonts w:ascii="Calibri" w:hAnsi="Calibri"/>
                <w:sz w:val="17"/>
              </w:rPr>
              <w:t xml:space="preserve">A wider natural kind supplies principles determining what its member is</w:t>
            </w:r>
          </w:p>
        </w:tc>
        <w:tc>
          <w:tcPr>
            <w:tcW w:type="dxa" w:w="2749"/>
          </w:tcPr>
          <w:p>
            <w:pPr>
              <w:pStyle w:val="BodyText"/>
              <w:keepNext w:val="0"/>
              <w:spacing w:after="80" w:line="252" w:lineRule="auto"/>
              <w:jc w:val="left"/>
            </w:pPr>
            <w:r>
              <w:rPr>
                <w:rFonts w:ascii="Calibri" w:hAnsi="Calibri"/>
                <w:sz w:val="17"/>
              </w:rPr>
              <w:t xml:space="preserve">Excluded under the defended genus–constitution bridge</w:t>
            </w:r>
          </w:p>
        </w:tc>
        <w:tc>
          <w:tcPr>
            <w:tcW w:type="dxa" w:w="2749"/>
          </w:tcPr>
          <w:p>
            <w:pPr>
              <w:pStyle w:val="BodyText"/>
              <w:keepNext w:val="0"/>
              <w:spacing w:after="80" w:line="252" w:lineRule="auto"/>
              <w:jc w:val="left"/>
            </w:pPr>
            <w:r>
              <w:rPr>
                <w:rFonts w:ascii="Calibri" w:hAnsi="Calibri"/>
                <w:sz w:val="17"/>
              </w:rPr>
              <w:t xml:space="preserve">A shared logical concept is not thereby a common constitutive measure.</w:t>
            </w:r>
          </w:p>
        </w:tc>
      </w:tr>
      <w:tr>
        <w:tc>
          <w:tcPr>
            <w:tcW w:type="dxa" w:w="1689"/>
          </w:tcPr>
          <w:p>
            <w:pPr>
              <w:pStyle w:val="BodyText"/>
              <w:keepNext w:val="0"/>
              <w:spacing w:after="80" w:line="252" w:lineRule="auto"/>
              <w:jc w:val="left"/>
            </w:pPr>
            <w:r>
              <w:rPr>
                <w:rFonts w:ascii="Calibri" w:hAnsi="Calibri"/>
                <w:sz w:val="17"/>
              </w:rPr>
              <w:t xml:space="preserve">5. Essence–existence identity</w:t>
            </w:r>
          </w:p>
        </w:tc>
        <w:tc>
          <w:tcPr>
            <w:tcW w:type="dxa" w:w="2749"/>
          </w:tcPr>
          <w:p>
            <w:pPr>
              <w:pStyle w:val="BodyText"/>
              <w:keepNext w:val="0"/>
              <w:spacing w:after="80" w:line="252" w:lineRule="auto"/>
              <w:jc w:val="left"/>
            </w:pPr>
            <w:r>
              <w:rPr>
                <w:rFonts w:ascii="Calibri" w:hAnsi="Calibri"/>
                <w:sz w:val="17"/>
              </w:rPr>
              <w:t xml:space="preserve">A constituted recipient receives existential actuality from an actualizer</w:t>
            </w:r>
          </w:p>
        </w:tc>
        <w:tc>
          <w:tcPr>
            <w:tcW w:type="dxa" w:w="2749"/>
          </w:tcPr>
          <w:p>
            <w:pPr>
              <w:pStyle w:val="BodyText"/>
              <w:keepNext w:val="0"/>
              <w:spacing w:after="80" w:line="252" w:lineRule="auto"/>
              <w:jc w:val="left"/>
            </w:pPr>
            <w:r>
              <w:rPr>
                <w:rFonts w:ascii="Calibri" w:hAnsi="Calibri"/>
                <w:sz w:val="17"/>
              </w:rPr>
              <w:t xml:space="preserve">No received source existence under that ontology</w:t>
            </w:r>
          </w:p>
        </w:tc>
        <w:tc>
          <w:tcPr>
            <w:tcW w:type="dxa" w:w="2749"/>
          </w:tcPr>
          <w:p>
            <w:pPr>
              <w:pStyle w:val="BodyText"/>
              <w:keepNext w:val="0"/>
              <w:spacing w:after="80" w:line="252" w:lineRule="auto"/>
              <w:jc w:val="left"/>
            </w:pPr>
            <w:r>
              <w:rPr>
                <w:rFonts w:ascii="Calibri" w:hAnsi="Calibri"/>
                <w:sz w:val="17"/>
              </w:rPr>
              <w:t xml:space="preserve">Different concepts alone do not establish a real recipient–actualizer structure.</w:t>
            </w:r>
          </w:p>
        </w:tc>
      </w:tr>
      <w:tr>
        <w:tc>
          <w:tcPr>
            <w:tcW w:type="dxa" w:w="1689"/>
          </w:tcPr>
          <w:p>
            <w:pPr>
              <w:pStyle w:val="BodyText"/>
              <w:keepNext w:val="0"/>
              <w:spacing w:after="80" w:line="252" w:lineRule="auto"/>
              <w:jc w:val="left"/>
            </w:pPr>
            <w:r>
              <w:rPr>
                <w:rFonts w:ascii="Calibri" w:hAnsi="Calibri"/>
                <w:sz w:val="17"/>
              </w:rPr>
              <w:t xml:space="preserve">6. Attribute simplicity</w:t>
            </w:r>
          </w:p>
        </w:tc>
        <w:tc>
          <w:tcPr>
            <w:tcW w:type="dxa" w:w="2749"/>
          </w:tcPr>
          <w:p>
            <w:pPr>
              <w:pStyle w:val="BodyText"/>
              <w:keepNext w:val="0"/>
              <w:spacing w:after="80" w:line="252" w:lineRule="auto"/>
              <w:jc w:val="left"/>
            </w:pPr>
            <w:r>
              <w:rPr>
                <w:rFonts w:ascii="Calibri" w:hAnsi="Calibri"/>
                <w:sz w:val="17"/>
              </w:rPr>
              <w:t xml:space="preserve">Distinct intrinsic perfection-principles actualize or complete a divine subject</w:t>
            </w:r>
          </w:p>
        </w:tc>
        <w:tc>
          <w:tcPr>
            <w:tcW w:type="dxa" w:w="2749"/>
          </w:tcPr>
          <w:p>
            <w:pPr>
              <w:pStyle w:val="BodyText"/>
              <w:keepNext w:val="0"/>
              <w:spacing w:after="80" w:line="252" w:lineRule="auto"/>
              <w:jc w:val="left"/>
            </w:pPr>
            <w:r>
              <w:rPr>
                <w:rFonts w:ascii="Calibri" w:hAnsi="Calibri"/>
                <w:sz w:val="17"/>
              </w:rPr>
              <w:t xml:space="preserve">Excluded where the subject is perfected through them</w:t>
            </w:r>
          </w:p>
        </w:tc>
        <w:tc>
          <w:tcPr>
            <w:tcW w:type="dxa" w:w="2749"/>
          </w:tcPr>
          <w:p>
            <w:pPr>
              <w:pStyle w:val="BodyText"/>
              <w:keepNext w:val="0"/>
              <w:spacing w:after="80" w:line="252" w:lineRule="auto"/>
              <w:jc w:val="left"/>
            </w:pPr>
            <w:r>
              <w:rPr>
                <w:rFonts w:ascii="Calibri" w:hAnsi="Calibri"/>
                <w:sz w:val="17"/>
              </w:rPr>
              <w:t xml:space="preserve">Different meanings can share one realization; nonconstitutive formal distinction needs separate analysis.</w:t>
            </w:r>
          </w:p>
        </w:tc>
      </w:tr>
      <w:tr>
        <w:tc>
          <w:tcPr>
            <w:tcW w:type="dxa" w:w="1689"/>
          </w:tcPr>
          <w:p>
            <w:pPr>
              <w:pStyle w:val="BodyText"/>
              <w:keepNext w:val="0"/>
              <w:spacing w:after="80" w:line="252" w:lineRule="auto"/>
              <w:jc w:val="left"/>
            </w:pPr>
            <w:r>
              <w:rPr>
                <w:rFonts w:ascii="Calibri" w:hAnsi="Calibri"/>
                <w:sz w:val="17"/>
              </w:rPr>
              <w:t xml:space="preserve">Subject / accident</w:t>
            </w:r>
          </w:p>
        </w:tc>
        <w:tc>
          <w:tcPr>
            <w:tcW w:type="dxa" w:w="2749"/>
          </w:tcPr>
          <w:p>
            <w:pPr>
              <w:pStyle w:val="BodyText"/>
              <w:keepNext w:val="0"/>
              <w:spacing w:after="80" w:line="252" w:lineRule="auto"/>
              <w:jc w:val="left"/>
            </w:pPr>
            <w:r>
              <w:rPr>
                <w:rFonts w:ascii="Calibri" w:hAnsi="Calibri"/>
                <w:sz w:val="17"/>
              </w:rPr>
              <w:t xml:space="preserve">Accidental actuality depends on a subject and an acquired actualization</w:t>
            </w:r>
          </w:p>
        </w:tc>
        <w:tc>
          <w:tcPr>
            <w:tcW w:type="dxa" w:w="2749"/>
          </w:tcPr>
          <w:p>
            <w:pPr>
              <w:pStyle w:val="BodyText"/>
              <w:keepNext w:val="0"/>
              <w:spacing w:after="80" w:line="252" w:lineRule="auto"/>
              <w:jc w:val="left"/>
            </w:pPr>
            <w:r>
              <w:rPr>
                <w:rFonts w:ascii="Calibri" w:hAnsi="Calibri"/>
                <w:sz w:val="17"/>
              </w:rPr>
              <w:t xml:space="preserve">Excluded where it introduces the relevant receptive dependence</w:t>
            </w:r>
          </w:p>
        </w:tc>
        <w:tc>
          <w:tcPr>
            <w:tcW w:type="dxa" w:w="2749"/>
          </w:tcPr>
          <w:p>
            <w:pPr>
              <w:pStyle w:val="BodyText"/>
              <w:keepNext w:val="0"/>
              <w:spacing w:after="80" w:line="252" w:lineRule="auto"/>
              <w:jc w:val="left"/>
            </w:pPr>
            <w:r>
              <w:rPr>
                <w:rFonts w:ascii="Calibri" w:hAnsi="Calibri"/>
                <w:sz w:val="17"/>
              </w:rPr>
              <w:t xml:space="preserve">An external predication is not thereby an intrinsic accident.</w:t>
            </w:r>
          </w:p>
        </w:tc>
      </w:tr>
      <w:tr>
        <w:tc>
          <w:tcPr>
            <w:tcW w:type="dxa" w:w="1689"/>
          </w:tcPr>
          <w:p>
            <w:pPr>
              <w:pStyle w:val="BodyText"/>
              <w:keepNext w:val="0"/>
              <w:spacing w:after="80" w:line="252" w:lineRule="auto"/>
              <w:jc w:val="left"/>
            </w:pPr>
            <w:r>
              <w:rPr>
                <w:rFonts w:ascii="Calibri" w:hAnsi="Calibri"/>
                <w:sz w:val="17"/>
              </w:rPr>
              <w:t xml:space="preserve">Personal origin</w:t>
            </w:r>
          </w:p>
        </w:tc>
        <w:tc>
          <w:tcPr>
            <w:tcW w:type="dxa" w:w="2749"/>
          </w:tcPr>
          <w:p>
            <w:pPr>
              <w:pStyle w:val="BodyText"/>
              <w:keepNext w:val="0"/>
              <w:spacing w:after="80" w:line="252" w:lineRule="auto"/>
              <w:jc w:val="left"/>
            </w:pPr>
            <w:r>
              <w:rPr>
                <w:rFonts w:ascii="Calibri" w:hAnsi="Calibri"/>
                <w:sz w:val="17"/>
              </w:rPr>
              <w:t xml:space="preserve">Real opposition of origin without division of divine essence</w:t>
            </w:r>
          </w:p>
        </w:tc>
        <w:tc>
          <w:tcPr>
            <w:tcW w:type="dxa" w:w="2749"/>
          </w:tcPr>
          <w:p>
            <w:pPr>
              <w:pStyle w:val="BodyText"/>
              <w:keepNext w:val="0"/>
              <w:spacing w:after="80" w:line="252" w:lineRule="auto"/>
              <w:jc w:val="left"/>
            </w:pPr>
            <w:r>
              <w:rPr>
                <w:rFonts w:ascii="Calibri" w:hAnsi="Calibri"/>
                <w:sz w:val="17"/>
              </w:rPr>
              <w:t xml:space="preserve">Theological distinction, not derived from natural simplicity</w:t>
            </w:r>
          </w:p>
        </w:tc>
        <w:tc>
          <w:tcPr>
            <w:tcW w:type="dxa" w:w="2749"/>
          </w:tcPr>
          <w:p>
            <w:pPr>
              <w:pStyle w:val="BodyText"/>
              <w:keepNext w:val="0"/>
              <w:spacing w:after="80" w:line="252" w:lineRule="auto"/>
              <w:jc w:val="left"/>
            </w:pPr>
            <w:r>
              <w:rPr>
                <w:rFonts w:ascii="Calibri" w:hAnsi="Calibri"/>
                <w:sz w:val="17"/>
              </w:rPr>
              <w:t xml:space="preserve">Unreceived deity does not make Son and Spirit personally unoriginated.</w:t>
            </w:r>
          </w:p>
        </w:tc>
      </w:tr>
      <w:tr>
        <w:tc>
          <w:tcPr>
            <w:tcW w:type="dxa" w:w="1689"/>
          </w:tcPr>
          <w:p>
            <w:pPr>
              <w:pStyle w:val="BodyText"/>
              <w:keepNext w:val="0"/>
              <w:spacing w:after="80" w:line="252" w:lineRule="auto"/>
              <w:jc w:val="left"/>
            </w:pPr>
            <w:r>
              <w:rPr>
                <w:rFonts w:ascii="Calibri" w:hAnsi="Calibri"/>
                <w:sz w:val="17"/>
              </w:rPr>
              <w:t xml:space="preserve">Formalities / energies</w:t>
            </w:r>
          </w:p>
        </w:tc>
        <w:tc>
          <w:tcPr>
            <w:tcW w:type="dxa" w:w="2749"/>
          </w:tcPr>
          <w:p>
            <w:pPr>
              <w:pStyle w:val="BodyText"/>
              <w:keepNext w:val="0"/>
              <w:spacing w:after="80" w:line="252" w:lineRule="auto"/>
              <w:jc w:val="left"/>
            </w:pPr>
            <w:r>
              <w:rPr>
                <w:rFonts w:ascii="Calibri" w:hAnsi="Calibri"/>
                <w:sz w:val="17"/>
              </w:rPr>
              <w:t xml:space="preserve">Do the proposed distinctions actually constitute or actualize the source?</w:t>
            </w:r>
          </w:p>
        </w:tc>
        <w:tc>
          <w:tcPr>
            <w:tcW w:type="dxa" w:w="2749"/>
          </w:tcPr>
          <w:p>
            <w:pPr>
              <w:pStyle w:val="BodyText"/>
              <w:keepNext w:val="0"/>
              <w:spacing w:after="80" w:line="252" w:lineRule="auto"/>
              <w:jc w:val="left"/>
            </w:pPr>
            <w:r>
              <w:rPr>
                <w:rFonts w:ascii="Calibri" w:hAnsi="Calibri"/>
                <w:sz w:val="17"/>
              </w:rPr>
              <w:t xml:space="preserve">Case-specific; not automatically excluded</w:t>
            </w:r>
          </w:p>
        </w:tc>
        <w:tc>
          <w:tcPr>
            <w:tcW w:type="dxa" w:w="2749"/>
          </w:tcPr>
          <w:p>
            <w:pPr>
              <w:pStyle w:val="BodyText"/>
              <w:keepNext w:val="0"/>
              <w:spacing w:after="80" w:line="252" w:lineRule="auto"/>
              <w:jc w:val="left"/>
            </w:pPr>
            <w:r>
              <w:rPr>
                <w:rFonts w:ascii="Calibri" w:hAnsi="Calibri"/>
                <w:sz w:val="17"/>
              </w:rPr>
              <w:t xml:space="preserve">Scotist formalities and Palamite energies are not interchangeable accounts.</w:t>
            </w:r>
          </w:p>
        </w:tc>
      </w:tr>
      <w:tr>
        <w:tc>
          <w:tcPr>
            <w:tcW w:type="dxa" w:w="1689"/>
          </w:tcPr>
          <w:p>
            <w:pPr>
              <w:pStyle w:val="BodyText"/>
              <w:keepNext w:val="0"/>
              <w:spacing w:after="80" w:line="252" w:lineRule="auto"/>
              <w:jc w:val="left"/>
            </w:pPr>
            <w:r>
              <w:rPr>
                <w:rFonts w:ascii="Calibri" w:hAnsi="Calibri"/>
                <w:sz w:val="17"/>
              </w:rPr>
              <w:t xml:space="preserve">Intrinsic intention across worlds</w:t>
            </w:r>
          </w:p>
        </w:tc>
        <w:tc>
          <w:tcPr>
            <w:tcW w:type="dxa" w:w="2749"/>
          </w:tcPr>
          <w:p>
            <w:pPr>
              <w:pStyle w:val="BodyText"/>
              <w:keepNext w:val="0"/>
              <w:spacing w:after="80" w:line="252" w:lineRule="auto"/>
              <w:jc w:val="left"/>
            </w:pPr>
            <w:r>
              <w:rPr>
                <w:rFonts w:ascii="Calibri" w:hAnsi="Calibri"/>
                <w:sz w:val="17"/>
              </w:rPr>
              <w:t xml:space="preserve">A different intrinsic intentional profile in another possible world</w:t>
            </w:r>
          </w:p>
        </w:tc>
        <w:tc>
          <w:tcPr>
            <w:tcW w:type="dxa" w:w="2749"/>
          </w:tcPr>
          <w:p>
            <w:pPr>
              <w:pStyle w:val="BodyText"/>
              <w:keepNext w:val="0"/>
              <w:spacing w:after="80" w:line="252" w:lineRule="auto"/>
              <w:jc w:val="left"/>
            </w:pPr>
            <w:r>
              <w:rPr>
                <w:rFonts w:ascii="Calibri" w:hAnsi="Calibri"/>
                <w:sz w:val="17"/>
              </w:rPr>
              <w:t xml:space="preserve">Not excluded by noncomposition alone</w:t>
            </w:r>
          </w:p>
        </w:tc>
        <w:tc>
          <w:tcPr>
            <w:tcW w:type="dxa" w:w="2749"/>
          </w:tcPr>
          <w:p>
            <w:pPr>
              <w:pStyle w:val="BodyText"/>
              <w:keepNext w:val="0"/>
              <w:spacing w:after="80" w:line="252" w:lineRule="auto"/>
              <w:jc w:val="left"/>
            </w:pPr>
            <w:r>
              <w:rPr>
                <w:rFonts w:ascii="Calibri" w:hAnsi="Calibri"/>
                <w:sz w:val="17"/>
              </w:rPr>
              <w:t xml:space="preserve">X supplies the stronger commitment; temporal acquisition is another question.</w:t>
            </w:r>
          </w:p>
        </w:tc>
      </w:tr>
    </w:tbl>
    <w:bookmarkEnd w:id="80"/>
    <w:p>
      <w:pPr>
        <w:pStyle w:val="BodyText"/>
      </w:pPr>
      <w:r>
        <w:t xml:space="preserve">03 / CONTINGENCY</w:t>
      </w:r>
    </w:p>
    <w:bookmarkStart w:id="81" w:name="X2d1a8dfacf732792c19313726f8a4e01691d033"/>
    <w:p>
      <w:pPr>
        <w:pStyle w:val="Heading2"/>
      </w:pPr>
      <w:r>
        <w:t xml:space="preserve">A gift can be complete without being compulsory.</w:t>
      </w:r>
    </w:p>
    <w:p>
      <w:pPr>
        <w:pStyle w:val="FirstParagraph"/>
      </w:pPr>
      <w:hyperlink r:id="rId36">
        <w:r>
          <w:rPr>
            <w:rStyle w:val="Hyperlink"/>
          </w:rPr>
          <w:t xml:space="preserve">Non-exhaustion</w:t>
        </w:r>
      </w:hyperlink>
      <w:r>
        <w:t xml:space="preserve"> </w:t>
      </w:r>
      <w:r>
        <w:t xml:space="preserve">removes a claim of adequacy: no finite world expresses the whole source. A further modal argument must establish that creation could genuinely have been otherwise.</w:t>
      </w:r>
    </w:p>
    <w:bookmarkEnd w:id="81"/>
    <w:p>
      <w:pPr>
        <w:pStyle w:val="BodyText"/>
      </w:pPr>
      <w:r>
        <w:t xml:space="preserve">Additional modal premise</w:t>
      </w:r>
    </w:p>
    <w:p>
      <w:pPr>
        <w:pStyle w:val="BodyText"/>
      </w:pPr>
      <w:r>
        <w:t xml:space="preserve">The necessary emanator is a decisive</w:t>
      </w:r>
      <w:r>
        <w:t xml:space="preserve"> </w:t>
      </w:r>
      <w:hyperlink r:id="rId82">
        <w:r>
          <w:rPr>
            <w:rStyle w:val="Hyperlink"/>
          </w:rPr>
          <w:t xml:space="preserve">countermodel</w:t>
        </w:r>
      </w:hyperlink>
      <w:r>
        <w:t xml:space="preserve">. It is unlimited, complete, and undivided; one finite cosmos follows from it in every admitted situation. The effect never exhausts its source, but still cannot fail to exist. Being unnecessary for the giver’s completion is different from being metaphysically contingent.</w:t>
      </w:r>
    </w:p>
    <w:p>
      <w:pPr>
        <w:pStyle w:val="BodyText"/>
      </w:pPr>
      <w:r>
        <w:t xml:space="preserve">Aquinas offers a stronger argument: a rational will necessarily directed toward its complete good need not necessarily select each finite means or expression by which that good could be communicated. Where the end is already possessed, the proposed recipient is not required to complete it. This supports communication as a gift. Its</w:t>
      </w:r>
      <w:r>
        <w:t xml:space="preserve"> </w:t>
      </w:r>
      <w:hyperlink r:id="rId51">
        <w:r>
          <w:rPr>
            <w:rStyle w:val="Hyperlink"/>
          </w:rPr>
          <w:t xml:space="preserve">warrant</w:t>
        </w:r>
      </w:hyperlink>
      <w:r>
        <w:t xml:space="preserve"> </w:t>
      </w:r>
      <w:r>
        <w:t xml:space="preserve">includes a theory of rational willing and alternative specification; source fullness alone supplies neither.</w:t>
      </w:r>
    </w:p>
    <w:p>
      <w:pPr>
        <w:pStyle w:val="BodyText"/>
      </w:pPr>
      <w:r>
        <w:t xml:space="preserve">Scotus sharpens the modal question. A later change of mind does not establish that a will could have acted otherwise at this act of choice.</w:t>
      </w:r>
      <w:r>
        <w:t xml:space="preserve"> </w:t>
      </w:r>
      <w:hyperlink r:id="rId44">
        <w:r>
          <w:rPr>
            <w:rStyle w:val="Hyperlink"/>
          </w:rPr>
          <w:t xml:space="preserve">Synchronic contingency</w:t>
        </w:r>
      </w:hyperlink>
      <w:r>
        <w:t xml:space="preserve"> </w:t>
      </w:r>
      <w:r>
        <w:t xml:space="preserve">concerns that live alternative. It need not be represented as a temporal hesitation in God. Our possible-worlds reconstruction is modern, and the Scotist resource does not independently establish X.</w:t>
      </w:r>
    </w:p>
    <w:p>
      <w:pPr>
        <w:pStyle w:val="BodyText"/>
      </w:pPr>
      <w:r>
        <w:t xml:space="preserve">Distinguish necessary execution from necessary choice. Necessarily, if an infallibly efficacious intention creates A, A exists. It does not follow that the intention toward A is necessary. Collapse follows if the necessary intrinsic divine actuality necessarily entails that complete world-specific intention. Denying that entailment blocks this route to collapse; intelligent authorship must still explain the actual choice.</w:t>
      </w:r>
    </w:p>
    <w:p>
      <w:pPr>
        <w:pStyle w:val="BodyText"/>
      </w:pPr>
      <w:r>
        <w:t xml:space="preserve">The explorer tests a strong modal extension: A, B, and no creation are admissible. Their stipulated consistency is weaker than proof of their metaphysical possibility. One effect’s possible absence, each effect’s contingency, different whole orders, and deliberate noncreation are four different claims. Noncreation is particularly important: a complete source would possess its intrinsic perfection without any actual recipient.</w:t>
      </w:r>
    </w:p>
    <w:bookmarkStart w:id="83" w:name="X2c565368dbe88e7ce17c7f492b422970076b925"/>
    <w:p>
      <w:pPr>
        <w:pStyle w:val="Heading3"/>
      </w:pPr>
      <w:r>
        <w:t xml:space="preserve">An inexhaustible source; a necessary cosmos</w:t>
      </w:r>
    </w:p>
    <w:p>
      <w:pPr>
        <w:pStyle w:val="FirstParagraph"/>
      </w:pPr>
      <w:r>
        <w:t xml:space="preserve">g → A</w:t>
      </w:r>
      <w:r>
        <w:t xml:space="preserve">g → A</w:t>
      </w:r>
      <w:r>
        <w:t xml:space="preserve">g → A</w:t>
      </w:r>
    </w:p>
    <w:p>
      <w:pPr>
        <w:pStyle w:val="BodyText"/>
      </w:pPr>
      <w:r>
        <w:t xml:space="preserve">Every admitted situation contains A. The source stays unbounded and noncomposite; A is finite and source-dependent. Non-exhaustion holds, but A has no accessible absence. This checked sparse interpretation satisfies the original nine clauses.</w:t>
      </w:r>
    </w:p>
    <w:bookmarkEnd w:id="83"/>
    <w:p>
      <w:pPr>
        <w:pStyle w:val="BodyText"/>
      </w:pPr>
      <w:r>
        <w:t xml:space="preserve">04 / AGENCY</w:t>
      </w:r>
    </w:p>
    <w:bookmarkStart w:id="84" w:name="alternatives-reasons-choice-execution."/>
    <w:p>
      <w:pPr>
        <w:pStyle w:val="Heading2"/>
      </w:pPr>
      <w:r>
        <w:t xml:space="preserve">Alternatives, reasons, choice, execution.</w:t>
      </w:r>
    </w:p>
    <w:p>
      <w:pPr>
        <w:pStyle w:val="FirstParagraph"/>
      </w:pPr>
      <w:r>
        <w:t xml:space="preserve">A complete account must explain what is possible, why an option is fitting, who chooses it, and why the intended result actually occurs.</w:t>
      </w:r>
    </w:p>
    <w:bookmarkEnd w:id="84"/>
    <w:p>
      <w:pPr>
        <w:pStyle w:val="BodyText"/>
      </w:pPr>
      <w:r>
        <w:t xml:space="preserve">Constructive extension</w:t>
      </w:r>
    </w:p>
    <w:p>
      <w:pPr>
        <w:pStyle w:val="BodyText"/>
      </w:pPr>
      <w:r>
        <w:t xml:space="preserve">Possibility concerns admissible alternatives. Reasons concern the goods apprehended in them. Choice concerns the agent’s actual intentional exercise toward one.</w:t>
      </w:r>
      <w:r>
        <w:t xml:space="preserve"> </w:t>
      </w:r>
      <w:hyperlink r:id="rId48">
        <w:r>
          <w:rPr>
            <w:rStyle w:val="Hyperlink"/>
          </w:rPr>
          <w:t xml:space="preserve">Efficacy</w:t>
        </w:r>
      </w:hyperlink>
      <w:r>
        <w:t xml:space="preserve"> </w:t>
      </w:r>
      <w:r>
        <w:t xml:space="preserve">concerns its successful production. A possibility does not choose itself; a good reason need not uniquely determine a gift; a finite agent can choose and fail to execute. In a perfect creative agent, infallible execution still does not make selection necessary.</w:t>
      </w:r>
    </w:p>
    <w:p>
      <w:pPr>
        <w:pStyle w:val="BodyText"/>
      </w:pPr>
      <w:r>
        <w:t xml:space="preserve">The strongest lottery rival places the spontaneity at the source itself. A or B occurs, every created actuality remains source-dependent, and no external machine governs the result. What is missing is the source’s rational authorship of the difference. Alternatives and complete causal dependence therefore do not yet amount to freedom.</w:t>
      </w:r>
    </w:p>
    <w:p>
      <w:pPr>
        <w:pStyle w:val="BodyText"/>
      </w:pPr>
      <w:r>
        <w:t xml:space="preserve">The positive proposal adds understood possibilities and control of the actual action. The agent acts for a reason toward a determinate good. Where several gifts are fitting, a reason can justify giving without necessitating this unique recipient or form. Demanding a prior uniquely determining reason for every choice would impose</w:t>
      </w:r>
      <w:r>
        <w:t xml:space="preserve"> </w:t>
      </w:r>
      <w:hyperlink r:id="rId85">
        <w:r>
          <w:rPr>
            <w:rStyle w:val="Hyperlink"/>
          </w:rPr>
          <w:t xml:space="preserve">necessitation</w:t>
        </w:r>
      </w:hyperlink>
      <w:r>
        <w:t xml:space="preserve"> </w:t>
      </w:r>
      <w:r>
        <w:t xml:space="preserve">on the account before examining it. Accepting voluntary action as an explanatory terminus is itself a metaphysical commitment, not a synonym for randomness.</w:t>
      </w:r>
    </w:p>
    <w:p>
      <w:pPr>
        <w:pStyle w:val="BodyText"/>
      </w:pPr>
      <w:r>
        <w:t xml:space="preserve">Intellect needs an independent positive bridge. Producing intelligible or intelligent effects establishes, at minimum,</w:t>
      </w:r>
      <w:r>
        <w:t xml:space="preserve"> </w:t>
      </w:r>
      <w:hyperlink r:id="rId34">
        <w:r>
          <w:rPr>
            <w:rStyle w:val="Hyperlink"/>
          </w:rPr>
          <w:t xml:space="preserve">causal adequacy</w:t>
        </w:r>
      </w:hyperlink>
      <w:r>
        <w:t xml:space="preserve"> </w:t>
      </w:r>
      <w:r>
        <w:t xml:space="preserve">for them. It does not by itself exclude a noncognitive source with</w:t>
      </w:r>
      <w:r>
        <w:t xml:space="preserve"> </w:t>
      </w:r>
      <w:hyperlink r:id="rId86">
        <w:r>
          <w:rPr>
            <w:rStyle w:val="Hyperlink"/>
          </w:rPr>
          <w:t xml:space="preserve">primitive</w:t>
        </w:r>
      </w:hyperlink>
      <w:r>
        <w:t xml:space="preserve"> </w:t>
      </w:r>
      <w:r>
        <w:t xml:space="preserve">powers to produce cognition. The stronger argument treats achieved understanding, apart from the receptive passage of learning, as a</w:t>
      </w:r>
      <w:r>
        <w:t xml:space="preserve"> </w:t>
      </w:r>
      <w:hyperlink r:id="rId35">
        <w:r>
          <w:rPr>
            <w:rStyle w:val="Hyperlink"/>
          </w:rPr>
          <w:t xml:space="preserve">pure perfection</w:t>
        </w:r>
      </w:hyperlink>
      <w:r>
        <w:t xml:space="preserve">; it then requires intrinsic ultimate possession of such perfections at the universal source. Accepting both premises warrants an intellective source. Rejecting the second leaves the weaker causal conclusion.</w:t>
      </w:r>
    </w:p>
    <w:p>
      <w:pPr>
        <w:pStyle w:val="BodyText"/>
      </w:pPr>
      <w:r>
        <w:t xml:space="preserve">Anselm helps distinguish rational excellence from sheer access to contraries. Inability to choose evil can coexist with freedom understood as rectitude for its own sake. That insight concerns the perfection of agency; genuine alternatives among good creations still require the separate modal argument.</w:t>
      </w:r>
    </w:p>
    <w:bookmarkStart w:id="88" w:name="what-the-account-of-agency-adds"/>
    <w:p>
      <w:pPr>
        <w:pStyle w:val="Heading3"/>
      </w:pPr>
      <w:r>
        <w:t xml:space="preserve">What the account of agency adds</w:t>
      </w:r>
    </w:p>
    <w:p>
      <w:pPr>
        <w:pStyle w:val="FirstParagraph"/>
      </w:pPr>
      <w:r>
        <w:t xml:space="preserve">Alternatives establish what can occur; reasons explain why an outcome is fitting; voluntary direction makes the action the agent’s doing; efficacy explains its success. Reasons can make several actions rational without uniquely necessitating one. The proposed</w:t>
      </w:r>
      <w:r>
        <w:t xml:space="preserve"> </w:t>
      </w:r>
      <w:hyperlink r:id="rId87">
        <w:r>
          <w:rPr>
            <w:rStyle w:val="Hyperlink"/>
          </w:rPr>
          <w:t xml:space="preserve">explanation</w:t>
        </w:r>
      </w:hyperlink>
      <w:r>
        <w:t xml:space="preserve"> </w:t>
      </w:r>
      <w:r>
        <w:t xml:space="preserve">therefore terminates in actual reason-guided agency, rather than inserting another act of choosing that would repeat the same question. Applying this account to God requires a defense of intellect and control, and of intentional direction without different intrinsic actuality.</w:t>
      </w:r>
    </w:p>
    <w:bookmarkEnd w:id="88"/>
    <w:p>
      <w:pPr>
        <w:pStyle w:val="BodyText"/>
      </w:pPr>
      <w:r>
        <w:t xml:space="preserve">05 / SPECIFICATION</w:t>
      </w:r>
    </w:p>
    <w:bookmarkStart w:id="89" w:name="Xd82565e653ea35812172f59acf7bbc88b824273"/>
    <w:p>
      <w:pPr>
        <w:pStyle w:val="Heading2"/>
      </w:pPr>
      <w:r>
        <w:t xml:space="preserve">The difference belongs to an intended action.</w:t>
      </w:r>
    </w:p>
    <w:p>
      <w:pPr>
        <w:pStyle w:val="FirstParagraph"/>
      </w:pPr>
      <w:r>
        <w:t xml:space="preserve">The agent’s action must explain its direction toward this world. Reading an intention backward from the finished effect would leave authorship unexplained.</w:t>
      </w:r>
    </w:p>
    <w:bookmarkEnd w:id="89"/>
    <w:p>
      <w:pPr>
        <w:pStyle w:val="BodyText"/>
      </w:pPr>
      <w:r>
        <w:t xml:space="preserve">Candidate compatibility model</w:t>
      </w:r>
    </w:p>
    <w:p>
      <w:pPr>
        <w:pStyle w:val="BodyText"/>
      </w:pPr>
      <w:r>
        <w:t xml:space="preserve">An understood plan represents a possible created order; it is not a separately existing Form. The source’s intentional action is directed toward that plan, and its efficacy makes the intended created order actual. The plan’s intelligibility, the actual choice, and the effect’s existence are distinct. Neither a catalogue of possibilities nor the finished world supplies the choice.</w:t>
      </w:r>
    </w:p>
    <w:p>
      <w:pPr>
        <w:pStyle w:val="BodyText"/>
      </w:pPr>
      <w:r>
        <w:t xml:space="preserve">The proposal distinguishes the agent’s intrinsic actuality from the complete action-fact: this agent intentionally producing this effect. It claims that real intentional relations need not be determined by intrinsic agent states alone. If the agent can freely originate such a relation without receiving a new perfection, complete creative actions can differ while intrinsic actuality remains the same. This is a substantive constructive bridge. Relational description by itself does not establish it.</w:t>
      </w:r>
    </w:p>
    <w:p>
      <w:pPr>
        <w:pStyle w:val="BodyText"/>
      </w:pPr>
      <w:r>
        <w:t xml:space="preserve">What makes “the source wills A” true is its actual intelligent exercise toward A. The choice originates with the agent; A is the produced effect, not a prior actualizer of the choosing.</w:t>
      </w:r>
      <w:r>
        <w:t xml:space="preserve"> </w:t>
      </w:r>
      <w:hyperlink r:id="rId62">
        <w:r>
          <w:rPr>
            <w:rStyle w:val="Hyperlink"/>
          </w:rPr>
          <w:t xml:space="preserve">Truthmaking</w:t>
        </w:r>
      </w:hyperlink>
      <w:r>
        <w:t xml:space="preserve"> </w:t>
      </w:r>
      <w:r>
        <w:t xml:space="preserve">for a statement about an effect and cognitive or constitutive actualization of the agent are different relations. Explanation provisionally terminates in voluntary action rather than a prior necessitating selector. That stopping point must account for positive control and an understood reason.</w:t>
      </w:r>
    </w:p>
    <w:p>
      <w:pPr>
        <w:pStyle w:val="BodyText"/>
      </w:pPr>
      <w:r>
        <w:t xml:space="preserve">Choosing, acquiring perfection, and constituting the chooser are different operations. A finite action often involves all three, together with bodily changes and successive thought. The divine question asks which of those conditions belong to agency as such. It cannot be answered simply by subtracting the conditions of creaturely action; the remaining intentional relation must still explain direction, control, and efficacy.</w:t>
      </w:r>
    </w:p>
    <w:p>
      <w:pPr>
        <w:pStyle w:val="BodyText"/>
      </w:pPr>
      <w:r>
        <w:t xml:space="preserve">The strongest rival grants free action but places different intrinsic intentions in different possible worlds. That rival need not introduce parts or temporal acquisition. The relational proposal preserves X only if the world-specific intentional difference genuinely belongs to the complete action without changing the source’s intrinsic actuality. Merely renaming the difference “extrinsic” would evade this burden.</w:t>
      </w:r>
    </w:p>
    <w:p>
      <w:pPr>
        <w:pStyle w:val="BodyText"/>
      </w:pPr>
      <w:r>
        <w:t xml:space="preserve">Deliberate noncreation tests the account sharply. There would be no actual created effect to supply an external label. The source would retain its understood possibilities and</w:t>
      </w:r>
      <w:r>
        <w:t xml:space="preserve"> </w:t>
      </w:r>
      <w:hyperlink r:id="rId90">
        <w:r>
          <w:rPr>
            <w:rStyle w:val="Hyperlink"/>
          </w:rPr>
          <w:t xml:space="preserve">active power</w:t>
        </w:r>
      </w:hyperlink>
      <w:r>
        <w:t xml:space="preserve"> </w:t>
      </w:r>
      <w:r>
        <w:t xml:space="preserve">while freely refraining from outward exercise. A successful relational theory must explain that agency too, without inventing an independent action-object between God and creatures.</w:t>
      </w:r>
    </w:p>
    <w:p>
      <w:pPr>
        <w:pStyle w:val="SourceCode"/>
      </w:pPr>
      <w:r>
        <w:rPr>
          <w:rStyle w:val="VerbatimChar"/>
        </w:rPr>
        <w:t xml:space="preserve">Possible plan p ≠ an actual independent Form.</w:t>
      </w:r>
      <w:r>
        <w:br/>
      </w:r>
      <w:r>
        <w:rPr>
          <w:rStyle w:val="VerbatimChar"/>
        </w:rPr>
        <w:t xml:space="preserve">Exercise(g,e,p) ∧ Control(g,e) → controlled action directed to p.</w:t>
      </w:r>
      <w:r>
        <w:br/>
      </w:r>
      <w:r>
        <w:rPr>
          <w:rStyle w:val="VerbatimChar"/>
        </w:rPr>
        <w:t xml:space="preserve">Effectiveness(e,p,x) → actual created effect x.</w:t>
      </w:r>
      <w:r>
        <w:br/>
      </w:r>
      <w:r>
        <w:rPr>
          <w:rStyle w:val="VerbatimChar"/>
        </w:rPr>
        <w:t xml:space="preserve">The action realizes p; naming its effect does not explain the choice.</w:t>
      </w:r>
      <w:r>
        <w:br/>
      </w:r>
      <w:r>
        <w:rPr>
          <w:rStyle w:val="VerbatimChar"/>
        </w:rPr>
        <w:t xml:space="preserve">X additionally requires this action’s intentional direction to add no intrinsic source difference.</w:t>
      </w:r>
    </w:p>
    <w:bookmarkStart w:id="91" w:name="compare-the-rival-explanations"/>
    <w:p>
      <w:pPr>
        <w:pStyle w:val="Heading3"/>
      </w:pPr>
      <w:r>
        <w:t xml:space="preserve">Compare the rival explanations</w:t>
      </w:r>
    </w:p>
    <w:tbl>
      <w:tblPr>
        <w:tblStyle w:val="TableGrid"/>
        <w:tblW w:type="dxa" w:w="9936"/>
        <w:jc w:val="left"/>
        <w:tblLayout w:type="fixed"/>
        <w:tblLook w:firstRow="1" w:lastRow="0" w:firstColumn="0" w:lastColumn="0" w:noHBand="0" w:noVBand="0" w:val="0020"/>
      </w:tblPr>
      <w:tblGrid>
        <w:gridCol w:w="3312"/>
        <w:gridCol w:w="3312"/>
        <w:gridCol w:w="3312"/>
      </w:tblGrid>
      <w:tr>
        <w:trPr>
          <w:tblHeader w:val="true"/>
        </w:trPr>
        <w:tc>
          <w:tcPr>
            <w:tcW w:type="dxa" w:w="3312"/>
            <w:shd w:fill="EAE5DA"/>
          </w:tcPr>
          <w:p>
            <w:pPr>
              <w:pStyle w:val="BodyText"/>
              <w:keepNext w:val="0"/>
              <w:spacing w:after="80" w:line="252" w:lineRule="auto"/>
              <w:jc w:val="left"/>
            </w:pPr>
            <w:r>
              <w:rPr>
                <w:rFonts w:ascii="Calibri" w:hAnsi="Calibri"/>
                <w:b/>
                <w:sz w:val="17"/>
              </w:rPr>
              <w:t xml:space="preserve">Account</w:t>
            </w:r>
          </w:p>
        </w:tc>
        <w:tc>
          <w:tcPr>
            <w:tcW w:type="dxa" w:w="3312"/>
            <w:shd w:fill="EAE5DA"/>
          </w:tcPr>
          <w:p>
            <w:pPr>
              <w:pStyle w:val="BodyText"/>
              <w:keepNext w:val="0"/>
              <w:spacing w:after="80" w:line="252" w:lineRule="auto"/>
              <w:jc w:val="left"/>
            </w:pPr>
            <w:r>
              <w:rPr>
                <w:rFonts w:ascii="Calibri" w:hAnsi="Calibri"/>
                <w:b/>
                <w:sz w:val="17"/>
              </w:rPr>
              <w:t xml:space="preserve">What it offers</w:t>
            </w:r>
          </w:p>
        </w:tc>
        <w:tc>
          <w:tcPr>
            <w:tcW w:type="dxa" w:w="3312"/>
            <w:shd w:fill="EAE5DA"/>
          </w:tcPr>
          <w:p>
            <w:pPr>
              <w:pStyle w:val="BodyText"/>
              <w:keepNext w:val="0"/>
              <w:spacing w:after="80" w:line="252" w:lineRule="auto"/>
              <w:jc w:val="left"/>
            </w:pPr>
            <w:r>
              <w:rPr>
                <w:rFonts w:ascii="Calibri" w:hAnsi="Calibri"/>
                <w:b/>
                <w:sz w:val="17"/>
              </w:rPr>
              <w:t xml:space="preserve">What remains</w:t>
            </w:r>
          </w:p>
        </w:tc>
      </w:tr>
      <w:tr>
        <w:tc>
          <w:tcPr>
            <w:tcW w:type="dxa" w:w="3312"/>
          </w:tcPr>
          <w:p>
            <w:pPr>
              <w:pStyle w:val="BodyText"/>
              <w:keepNext w:val="0"/>
              <w:spacing w:after="80" w:line="252" w:lineRule="auto"/>
              <w:jc w:val="left"/>
            </w:pPr>
            <w:r>
              <w:rPr>
                <w:rFonts w:ascii="Calibri" w:hAnsi="Calibri"/>
                <w:sz w:val="17"/>
              </w:rPr>
              <w:t xml:space="preserve">Intrinsic intentional variation</w:t>
            </w:r>
          </w:p>
        </w:tc>
        <w:tc>
          <w:tcPr>
            <w:tcW w:type="dxa" w:w="3312"/>
          </w:tcPr>
          <w:p>
            <w:pPr>
              <w:pStyle w:val="BodyText"/>
              <w:keepNext w:val="0"/>
              <w:spacing w:after="80" w:line="252" w:lineRule="auto"/>
              <w:jc w:val="left"/>
            </w:pPr>
            <w:r>
              <w:rPr>
                <w:rFonts w:ascii="Calibri" w:hAnsi="Calibri"/>
                <w:sz w:val="17"/>
              </w:rPr>
              <w:t xml:space="preserve">Concrete source-side difference without necessarily adding parts</w:t>
            </w:r>
          </w:p>
        </w:tc>
        <w:tc>
          <w:tcPr>
            <w:tcW w:type="dxa" w:w="3312"/>
          </w:tcPr>
          <w:p>
            <w:pPr>
              <w:pStyle w:val="BodyText"/>
              <w:keepNext w:val="0"/>
              <w:spacing w:after="80" w:line="252" w:lineRule="auto"/>
              <w:jc w:val="left"/>
            </w:pPr>
            <w:r>
              <w:rPr>
                <w:rFonts w:ascii="Calibri" w:hAnsi="Calibri"/>
                <w:sz w:val="17"/>
              </w:rPr>
              <w:t xml:space="preserve">Must justify its relation to stronger simplicity; abandons or revises X.</w:t>
            </w:r>
          </w:p>
        </w:tc>
      </w:tr>
      <w:tr>
        <w:tc>
          <w:tcPr>
            <w:tcW w:type="dxa" w:w="3312"/>
          </w:tcPr>
          <w:p>
            <w:pPr>
              <w:pStyle w:val="BodyText"/>
              <w:keepNext w:val="0"/>
              <w:spacing w:after="80" w:line="252" w:lineRule="auto"/>
              <w:jc w:val="left"/>
            </w:pPr>
            <w:r>
              <w:rPr>
                <w:rFonts w:ascii="Calibri" w:hAnsi="Calibri"/>
                <w:sz w:val="17"/>
              </w:rPr>
              <w:t xml:space="preserve">Extrinsic denomination</w:t>
            </w:r>
          </w:p>
        </w:tc>
        <w:tc>
          <w:tcPr>
            <w:tcW w:type="dxa" w:w="3312"/>
          </w:tcPr>
          <w:p>
            <w:pPr>
              <w:pStyle w:val="BodyText"/>
              <w:keepNext w:val="0"/>
              <w:spacing w:after="80" w:line="252" w:lineRule="auto"/>
              <w:jc w:val="left"/>
            </w:pPr>
            <w:r>
              <w:rPr>
                <w:rFonts w:ascii="Calibri" w:hAnsi="Calibri"/>
                <w:sz w:val="17"/>
              </w:rPr>
              <w:t xml:space="preserve">Correct effect-relative predication</w:t>
            </w:r>
          </w:p>
        </w:tc>
        <w:tc>
          <w:tcPr>
            <w:tcW w:type="dxa" w:w="3312"/>
          </w:tcPr>
          <w:p>
            <w:pPr>
              <w:pStyle w:val="BodyText"/>
              <w:keepNext w:val="0"/>
              <w:spacing w:after="80" w:line="252" w:lineRule="auto"/>
              <w:jc w:val="left"/>
            </w:pPr>
            <w:r>
              <w:rPr>
                <w:rFonts w:ascii="Calibri" w:hAnsi="Calibri"/>
                <w:sz w:val="17"/>
              </w:rPr>
              <w:t xml:space="preserve">May describe the outcome without locating positive intentional control.</w:t>
            </w:r>
          </w:p>
        </w:tc>
      </w:tr>
      <w:tr>
        <w:tc>
          <w:tcPr>
            <w:tcW w:type="dxa" w:w="3312"/>
          </w:tcPr>
          <w:p>
            <w:pPr>
              <w:pStyle w:val="BodyText"/>
              <w:keepNext w:val="0"/>
              <w:spacing w:after="80" w:line="252" w:lineRule="auto"/>
              <w:jc w:val="left"/>
            </w:pPr>
            <w:r>
              <w:rPr>
                <w:rFonts w:ascii="Calibri" w:hAnsi="Calibri"/>
                <w:sz w:val="17"/>
              </w:rPr>
              <w:t xml:space="preserve">Action as a real relation</w:t>
            </w:r>
          </w:p>
        </w:tc>
        <w:tc>
          <w:tcPr>
            <w:tcW w:type="dxa" w:w="3312"/>
          </w:tcPr>
          <w:p>
            <w:pPr>
              <w:pStyle w:val="BodyText"/>
              <w:keepNext w:val="0"/>
              <w:spacing w:after="80" w:line="252" w:lineRule="auto"/>
              <w:jc w:val="left"/>
            </w:pPr>
            <w:r>
              <w:rPr>
                <w:rFonts w:ascii="Calibri" w:hAnsi="Calibri"/>
                <w:sz w:val="17"/>
              </w:rPr>
              <w:t xml:space="preserve">A controlled action directed toward an understood plan</w:t>
            </w:r>
          </w:p>
        </w:tc>
        <w:tc>
          <w:tcPr>
            <w:tcW w:type="dxa" w:w="3312"/>
          </w:tcPr>
          <w:p>
            <w:pPr>
              <w:pStyle w:val="BodyText"/>
              <w:keepNext w:val="0"/>
              <w:spacing w:after="80" w:line="252" w:lineRule="auto"/>
              <w:jc w:val="left"/>
            </w:pPr>
            <w:r>
              <w:rPr>
                <w:rFonts w:ascii="Calibri" w:hAnsi="Calibri"/>
                <w:sz w:val="17"/>
              </w:rPr>
              <w:t xml:space="preserve">Needs an argument that the action introduces neither an independent third reality nor an acquired divine constituent.</w:t>
            </w:r>
          </w:p>
        </w:tc>
      </w:tr>
      <w:tr>
        <w:tc>
          <w:tcPr>
            <w:tcW w:type="dxa" w:w="3312"/>
          </w:tcPr>
          <w:p>
            <w:pPr>
              <w:pStyle w:val="BodyText"/>
              <w:keepNext w:val="0"/>
              <w:spacing w:after="80" w:line="252" w:lineRule="auto"/>
              <w:jc w:val="left"/>
            </w:pPr>
            <w:r>
              <w:rPr>
                <w:rFonts w:ascii="Calibri" w:hAnsi="Calibri"/>
                <w:sz w:val="17"/>
              </w:rPr>
              <w:t xml:space="preserve">Necessary source action / contingent outcome</w:t>
            </w:r>
          </w:p>
        </w:tc>
        <w:tc>
          <w:tcPr>
            <w:tcW w:type="dxa" w:w="3312"/>
          </w:tcPr>
          <w:p>
            <w:pPr>
              <w:pStyle w:val="BodyText"/>
              <w:keepNext w:val="0"/>
              <w:spacing w:after="80" w:line="252" w:lineRule="auto"/>
              <w:jc w:val="left"/>
            </w:pPr>
            <w:r>
              <w:rPr>
                <w:rFonts w:ascii="Calibri" w:hAnsi="Calibri"/>
                <w:sz w:val="17"/>
              </w:rPr>
              <w:t xml:space="preserve">Same source action with different results</w:t>
            </w:r>
          </w:p>
        </w:tc>
        <w:tc>
          <w:tcPr>
            <w:tcW w:type="dxa" w:w="3312"/>
          </w:tcPr>
          <w:p>
            <w:pPr>
              <w:pStyle w:val="BodyText"/>
              <w:keepNext w:val="0"/>
              <w:spacing w:after="80" w:line="252" w:lineRule="auto"/>
              <w:jc w:val="left"/>
            </w:pPr>
            <w:r>
              <w:rPr>
                <w:rFonts w:ascii="Calibri" w:hAnsi="Calibri"/>
                <w:sz w:val="17"/>
              </w:rPr>
              <w:t xml:space="preserve">Must distinguish intelligent control from spontaneous output and address effectiveness.</w:t>
            </w:r>
          </w:p>
        </w:tc>
      </w:tr>
    </w:tbl>
    <w:bookmarkEnd w:id="91"/>
    <w:p>
      <w:pPr>
        <w:pStyle w:val="BodyText"/>
      </w:pPr>
      <w:r>
        <w:t xml:space="preserve">06 / KNOWLEDGE</w:t>
      </w:r>
    </w:p>
    <w:bookmarkStart w:id="92" w:name="X898b7e1a6e799c8f0b6e894fabc56b759df944d"/>
    <w:p>
      <w:pPr>
        <w:pStyle w:val="Heading2"/>
      </w:pPr>
      <w:r>
        <w:t xml:space="preserve">Knowledge through actual intelligent action.</w:t>
      </w:r>
    </w:p>
    <w:p>
      <w:pPr>
        <w:pStyle w:val="FirstParagraph"/>
      </w:pPr>
      <w:r>
        <w:t xml:space="preserve">The source can know an effect through its own efficacious intention if it knows that actual intention and its efficacy. Knowing a power or every possible plan is insufficient.</w:t>
      </w:r>
    </w:p>
    <w:bookmarkEnd w:id="92"/>
    <w:p>
      <w:pPr>
        <w:pStyle w:val="BodyText"/>
      </w:pPr>
      <w:r>
        <w:t xml:space="preserve">Independent epistemic proposal</w:t>
      </w:r>
    </w:p>
    <w:p>
      <w:pPr>
        <w:pStyle w:val="BodyText"/>
      </w:pPr>
      <w:r>
        <w:t xml:space="preserve">Productive knowledge reverses the receptive pattern of learning from a finished object. An intelligent agent apprehends a determinate intended content, knows its actual exercise toward it, and understands what that exercise accomplishes. Where the intention is infallibly efficacious, this warrants knowledge of the effect without observing it. Blind power could produce the same result; efficacy must therefore be joined to intelligent self-awareness.</w:t>
      </w:r>
    </w:p>
    <w:p>
      <w:pPr>
        <w:pStyle w:val="BodyText"/>
      </w:pPr>
      <w:r>
        <w:t xml:space="preserve">Three conditions remain distinct: awareness of the actual action, adequate</w:t>
      </w:r>
      <w:r>
        <w:t xml:space="preserve"> </w:t>
      </w:r>
      <w:hyperlink r:id="rId93">
        <w:r>
          <w:rPr>
            <w:rStyle w:val="Hyperlink"/>
          </w:rPr>
          <w:t xml:space="preserve">disclosure</w:t>
        </w:r>
      </w:hyperlink>
      <w:r>
        <w:t xml:space="preserve"> </w:t>
      </w:r>
      <w:r>
        <w:t xml:space="preserve">of its effect through that action, and warrant sufficient for knowledge. Accuracy alone is insufficient. Nor does intrinsic self-knowledge automatically reveal a world-specific intention if X leaves the intrinsic profile invariant. The required self-awareness must reach the complete actual intentional action, including its particular direction.</w:t>
      </w:r>
    </w:p>
    <w:p>
      <w:pPr>
        <w:pStyle w:val="BodyText"/>
      </w:pPr>
      <w:r>
        <w:t xml:space="preserve">Aquinas explicitly joins knowledge-as-cause to willing. Augustine’s non-acquired knowledge and the Maximian distinction between known</w:t>
      </w:r>
      <w:r>
        <w:t xml:space="preserve"> </w:t>
      </w:r>
      <w:hyperlink r:id="rId39">
        <w:r>
          <w:rPr>
            <w:rStyle w:val="Hyperlink"/>
          </w:rPr>
          <w:t xml:space="preserve">logoi</w:t>
        </w:r>
      </w:hyperlink>
      <w:r>
        <w:t xml:space="preserve"> </w:t>
      </w:r>
      <w:r>
        <w:t xml:space="preserve">and actual creatures support this explanatory direction. They are historical resources for the proposal; no single author is credited with the whole modern account or its resolution of every modal difficulty.</w:t>
      </w:r>
    </w:p>
    <w:p>
      <w:pPr>
        <w:pStyle w:val="BodyText"/>
      </w:pPr>
      <w:r>
        <w:t xml:space="preserve">Knowledge is answerable to truth: knowing that A exists requires A’s existence. This</w:t>
      </w:r>
      <w:r>
        <w:t xml:space="preserve"> </w:t>
      </w:r>
      <w:hyperlink r:id="rId50">
        <w:r>
          <w:rPr>
            <w:rStyle w:val="Hyperlink"/>
          </w:rPr>
          <w:t xml:space="preserve">factivity</w:t>
        </w:r>
      </w:hyperlink>
      <w:r>
        <w:t xml:space="preserve"> </w:t>
      </w:r>
      <w:r>
        <w:t xml:space="preserve">does not show that A teaches or actualizes the knower. On the productive account, the effect exists through the intelligent exercise; it does not contribute a missing cognitive perfection to the source. Truthmaking for a creaturely proposition is thus compatible with the creature’s not being a cognitive actualizer of God.</w:t>
      </w:r>
    </w:p>
    <w:p>
      <w:pPr>
        <w:pStyle w:val="BodyText"/>
      </w:pPr>
      <w:r>
        <w:t xml:space="preserve">The further frontier is secondary freedom. Sustaining a free creature is not identical with choosing its intention. Knowing a wrongful act is not choosing its moral defect. Productive knowledge covers what the actual divine exercise adequately specifies or discloses; it cannot simply absorb every creaturely intention into God’s intention.</w:t>
      </w:r>
    </w:p>
    <w:p>
      <w:pPr>
        <w:pStyle w:val="BodyText"/>
      </w:pPr>
      <w:r>
        <w:t xml:space="preserve">A possible further bridge is direct non-receptive awareness of finite acts: created actuality is cognitively present to the underived intellect without informing it through acquired representations. Causal intimacy makes that proposal intelligible but does not establish cognitive presence. It needs its own argument, including an account of omissions, future contingents, and moral defects. Catholic doctrine supplies comprehensive divine knowledge as a theological commitment; this scoped philosophical model has not independently demonstrated omniscience.</w:t>
      </w:r>
    </w:p>
    <w:p>
      <w:pPr>
        <w:pStyle w:val="SourceCode"/>
      </w:pPr>
      <w:r>
        <w:rPr>
          <w:rStyle w:val="VerbatimChar"/>
        </w:rPr>
        <w:t xml:space="preserve">Access(g,e,p) ∧ CausalAccess(g,e,x) ∧ EpistemicWarrant(g,e)</w:t>
      </w:r>
      <w:r>
        <w:br/>
      </w:r>
      <w:r>
        <w:rPr>
          <w:rStyle w:val="VerbatimChar"/>
        </w:rPr>
        <w:t xml:space="preserve">⇒ knows(g, x as the actual effect of e).</w:t>
      </w:r>
      <w:r>
        <w:br/>
      </w:r>
      <w:r>
        <w:rPr>
          <w:rStyle w:val="VerbatimChar"/>
        </w:rPr>
        <w:t xml:space="preserve">Knowledge of power or possibilities alone does not imply these premises.</w:t>
      </w:r>
    </w:p>
    <w:bookmarkStart w:id="94" w:name="scope-truth-and-other-agents-freedom"/>
    <w:p>
      <w:pPr>
        <w:pStyle w:val="Heading3"/>
      </w:pPr>
      <w:r>
        <w:t xml:space="preserve">Scope, truth, and other agents’ freedom</w:t>
      </w:r>
    </w:p>
    <w:p>
      <w:pPr>
        <w:pStyle w:val="FirstParagraph"/>
      </w:pPr>
      <w:r>
        <w:t xml:space="preserve">The proposed direction of explanation is: the agent’s action → created effect; warranted awareness of that action → knowledge of its effect. Knowledge tracks the effect’s truth without being learned from it. If the effect includes contingent choices by other agents that this action does not adequately disclose, the inference is insufficient. A further account of</w:t>
      </w:r>
      <w:r>
        <w:t xml:space="preserve"> </w:t>
      </w:r>
      <w:hyperlink r:id="rId41">
        <w:r>
          <w:rPr>
            <w:rStyle w:val="Hyperlink"/>
          </w:rPr>
          <w:t xml:space="preserve">divine concurrence</w:t>
        </w:r>
      </w:hyperlink>
      <w:r>
        <w:t xml:space="preserve">, cognitive access, or another way of knowing is needed. Omniscience has not been established.</w:t>
      </w:r>
    </w:p>
    <w:bookmarkEnd w:id="94"/>
    <w:p>
      <w:pPr>
        <w:pStyle w:val="BodyText"/>
      </w:pPr>
      <w:r>
        <w:t xml:space="preserve">07 / LABORATORY</w:t>
      </w:r>
    </w:p>
    <w:bookmarkStart w:id="95" w:name="break-the-proposed-paths."/>
    <w:p>
      <w:pPr>
        <w:pStyle w:val="Heading2"/>
      </w:pPr>
      <w:r>
        <w:t xml:space="preserve">Break the proposed paths.</w:t>
      </w:r>
    </w:p>
    <w:p>
      <w:pPr>
        <w:pStyle w:val="FirstParagraph"/>
      </w:pPr>
      <w:r>
        <w:t xml:space="preserve">Toggle commitments to see which documented arguments remain available. A selected premise is not an independently warranted truth.</w:t>
      </w:r>
    </w:p>
    <w:bookmarkEnd w:id="95"/>
    <w:p>
      <w:pPr>
        <w:pStyle w:val="BodyText"/>
      </w:pPr>
      <w:r>
        <w:t xml:space="preserve">Dependency explorer</w:t>
      </w:r>
    </w:p>
    <w:bookmarkStart w:id="96" w:name="select-the-commitments"/>
    <w:p>
      <w:pPr>
        <w:pStyle w:val="Heading3"/>
      </w:pPr>
      <w:r>
        <w:t xml:space="preserve">Select the commitments</w:t>
      </w:r>
    </w:p>
    <w:p>
      <w:pPr>
        <w:pStyle w:val="FirstParagraph"/>
      </w:pPr>
      <w:r>
        <w:rPr>
          <w:b/>
          <w:bCs/>
        </w:rPr>
        <w:t xml:space="preserve">U</w:t>
      </w:r>
      <w:r>
        <w:t xml:space="preserve"> </w:t>
      </w:r>
      <w:r>
        <w:t xml:space="preserve">Source underivation</w:t>
      </w:r>
      <w:r>
        <w:t xml:space="preserve">Inherited premise</w:t>
      </w:r>
    </w:p>
    <w:p>
      <w:pPr>
        <w:pStyle w:val="BodyText"/>
      </w:pPr>
      <w:r>
        <w:rPr>
          <w:b/>
          <w:bCs/>
        </w:rPr>
        <w:t xml:space="preserve">KD</w:t>
      </w:r>
      <w:r>
        <w:t xml:space="preserve"> </w:t>
      </w:r>
      <w:r>
        <w:t xml:space="preserve">Constitution grounds dependence</w:t>
      </w:r>
      <w:r>
        <w:t xml:space="preserve">Inherited bridge</w:t>
      </w:r>
    </w:p>
    <w:p>
      <w:pPr>
        <w:pStyle w:val="BodyText"/>
      </w:pPr>
      <w:r>
        <w:rPr>
          <w:b/>
          <w:bCs/>
        </w:rPr>
        <w:t xml:space="preserve">F</w:t>
      </w:r>
      <w:r>
        <w:t xml:space="preserve"> </w:t>
      </w:r>
      <w:r>
        <w:t xml:space="preserve">Unbounded / bounded actuality profile</w:t>
      </w:r>
      <w:r>
        <w:t xml:space="preserve">Inherited profile</w:t>
      </w:r>
    </w:p>
    <w:p>
      <w:pPr>
        <w:pStyle w:val="BodyText"/>
      </w:pPr>
      <w:r>
        <w:rPr>
          <w:b/>
          <w:bCs/>
        </w:rPr>
        <w:t xml:space="preserve">M</w:t>
      </w:r>
      <w:r>
        <w:t xml:space="preserve"> </w:t>
      </w:r>
      <w:r>
        <w:t xml:space="preserve">Live creation alternatives</w:t>
      </w:r>
      <w:r>
        <w:t xml:space="preserve">Additional premise</w:t>
      </w:r>
    </w:p>
    <w:p>
      <w:pPr>
        <w:pStyle w:val="BodyText"/>
      </w:pPr>
      <w:r>
        <w:rPr>
          <w:b/>
          <w:bCs/>
        </w:rPr>
        <w:t xml:space="preserve">I</w:t>
      </w:r>
      <w:r>
        <w:t xml:space="preserve"> </w:t>
      </w:r>
      <w:r>
        <w:t xml:space="preserve">Intelligible reasons and possibilities</w:t>
      </w:r>
      <w:r>
        <w:t xml:space="preserve">Additional premise</w:t>
      </w:r>
    </w:p>
    <w:p>
      <w:pPr>
        <w:pStyle w:val="BodyText"/>
      </w:pPr>
      <w:r>
        <w:rPr>
          <w:b/>
          <w:bCs/>
        </w:rPr>
        <w:t xml:space="preserve">A</w:t>
      </w:r>
      <w:r>
        <w:t xml:space="preserve"> </w:t>
      </w:r>
      <w:r>
        <w:t xml:space="preserve">Control of the action</w:t>
      </w:r>
      <w:r>
        <w:t xml:space="preserve">Agency proposal</w:t>
      </w:r>
    </w:p>
    <w:p>
      <w:pPr>
        <w:pStyle w:val="BodyText"/>
      </w:pPr>
      <w:r>
        <w:rPr>
          <w:b/>
          <w:bCs/>
        </w:rPr>
        <w:t xml:space="preserve">T</w:t>
      </w:r>
      <w:r>
        <w:t xml:space="preserve"> </w:t>
      </w:r>
      <w:r>
        <w:t xml:space="preserve">Intention and effect correspond</w:t>
      </w:r>
      <w:r>
        <w:t xml:space="preserve">Specification proposal</w:t>
      </w:r>
    </w:p>
    <w:p>
      <w:pPr>
        <w:pStyle w:val="BodyText"/>
      </w:pPr>
      <w:r>
        <w:rPr>
          <w:b/>
          <w:bCs/>
        </w:rPr>
        <w:t xml:space="preserve">R</w:t>
      </w:r>
      <w:r>
        <w:t xml:space="preserve"> </w:t>
      </w:r>
      <w:r>
        <w:t xml:space="preserve">Awareness of the actual action</w:t>
      </w:r>
      <w:r>
        <w:t xml:space="preserve">Epistemic proposal</w:t>
      </w:r>
    </w:p>
    <w:p>
      <w:pPr>
        <w:pStyle w:val="BodyText"/>
      </w:pPr>
      <w:r>
        <w:rPr>
          <w:b/>
          <w:bCs/>
        </w:rPr>
        <w:t xml:space="preserve">CT</w:t>
      </w:r>
      <w:r>
        <w:t xml:space="preserve"> </w:t>
      </w:r>
      <w:r>
        <w:t xml:space="preserve">The action discloses its effect</w:t>
      </w:r>
      <w:r>
        <w:t xml:space="preserve">Epistemic proposal</w:t>
      </w:r>
    </w:p>
    <w:p>
      <w:pPr>
        <w:pStyle w:val="BodyText"/>
      </w:pPr>
      <w:r>
        <w:rPr>
          <w:b/>
          <w:bCs/>
        </w:rPr>
        <w:t xml:space="preserve">X</w:t>
      </w:r>
      <w:r>
        <w:t xml:space="preserve"> </w:t>
      </w:r>
      <w:r>
        <w:t xml:space="preserve">Same intrinsic actuality across alternatives</w:t>
      </w:r>
      <w:r>
        <w:t xml:space="preserve">Optional compatibility commitment</w:t>
      </w:r>
    </w:p>
    <w:p>
      <w:pPr>
        <w:pStyle w:val="BodyText"/>
      </w:pPr>
      <w:r>
        <w:rPr>
          <w:b/>
          <w:bCs/>
        </w:rPr>
        <w:t xml:space="preserve">EP</w:t>
      </w:r>
      <w:r>
        <w:t xml:space="preserve"> </w:t>
      </w:r>
      <w:r>
        <w:t xml:space="preserve">Warrant for knowledge through one’s action</w:t>
      </w:r>
      <w:r>
        <w:t xml:space="preserve">Epistemic bridge</w:t>
      </w:r>
    </w:p>
    <w:bookmarkEnd w:id="96"/>
    <w:p>
      <w:pPr>
        <w:pStyle w:val="BodyText"/>
      </w:pPr>
      <w:r>
        <w:t xml:space="preserve">2 / 7</w:t>
      </w:r>
    </w:p>
    <w:p>
      <w:pPr>
        <w:pStyle w:val="BodyText"/>
      </w:pPr>
      <w:r>
        <w:t xml:space="preserve">documented paths available under selected commitments</w:t>
      </w:r>
    </w:p>
    <w:bookmarkStart w:id="97" w:name="minimal-noncomposition"/>
    <w:p>
      <w:pPr>
        <w:pStyle w:val="Heading3"/>
      </w:pPr>
      <w:r>
        <w:t xml:space="preserve">Minimal noncomposition</w:t>
      </w:r>
    </w:p>
    <w:p>
      <w:pPr>
        <w:pStyle w:val="FirstParagraph"/>
      </w:pPr>
      <w:r>
        <w:t xml:space="preserve">Conditional theorem</w:t>
      </w:r>
    </w:p>
    <w:p>
      <w:pPr>
        <w:pStyle w:val="BodyText"/>
      </w:pPr>
      <w:r>
        <w:t xml:space="preserve">No proper intrinsic constituents, given the defended grounding bridge.</w:t>
      </w:r>
    </w:p>
    <w:bookmarkEnd w:id="97"/>
    <w:bookmarkStart w:id="98" w:name="finite-non-exhaustion"/>
    <w:p>
      <w:pPr>
        <w:pStyle w:val="Heading3"/>
      </w:pPr>
      <w:r>
        <w:t xml:space="preserve">Finite non-exhaustion</w:t>
      </w:r>
    </w:p>
    <w:p>
      <w:pPr>
        <w:pStyle w:val="FirstParagraph"/>
      </w:pPr>
      <w:r>
        <w:t xml:space="preserve">Inherited conditional result</w:t>
      </w:r>
    </w:p>
    <w:p>
      <w:pPr>
        <w:pStyle w:val="BodyText"/>
      </w:pPr>
      <w:r>
        <w:t xml:space="preserve">The selected source/receiver actuality measures are unequal; no contingency follows.</w:t>
      </w:r>
    </w:p>
    <w:bookmarkEnd w:id="98"/>
    <w:bookmarkStart w:id="99" w:name="whole-order-alternatives"/>
    <w:p>
      <w:pPr>
        <w:pStyle w:val="Heading3"/>
      </w:pPr>
      <w:r>
        <w:t xml:space="preserve">Whole-order alternatives</w:t>
      </w:r>
    </w:p>
    <w:p>
      <w:pPr>
        <w:pStyle w:val="FirstParagraph"/>
      </w:pPr>
      <w:r>
        <w:t xml:space="preserve">Missing: M</w:t>
      </w:r>
    </w:p>
    <w:p>
      <w:pPr>
        <w:pStyle w:val="BodyText"/>
      </w:pPr>
      <w:r>
        <w:t xml:space="preserve">This is a disclosed extension, not a conclusion from infinity.</w:t>
      </w:r>
    </w:p>
    <w:bookmarkEnd w:id="99"/>
    <w:bookmarkStart w:id="100" w:name="intelligent-intentional-action"/>
    <w:p>
      <w:pPr>
        <w:pStyle w:val="Heading3"/>
      </w:pPr>
      <w:r>
        <w:t xml:space="preserve">Intelligent intentional action</w:t>
      </w:r>
    </w:p>
    <w:p>
      <w:pPr>
        <w:pStyle w:val="FirstParagraph"/>
      </w:pPr>
      <w:r>
        <w:t xml:space="preserve">Missing: M, I, A</w:t>
      </w:r>
    </w:p>
    <w:p>
      <w:pPr>
        <w:pStyle w:val="BodyText"/>
      </w:pPr>
      <w:r>
        <w:t xml:space="preserve">A control and intelligibility model is added; these are not established by the source profile.</w:t>
      </w:r>
    </w:p>
    <w:bookmarkEnd w:id="100"/>
    <w:bookmarkStart w:id="101" w:name="Xf92d0ee99c6e8fd03cf90969e5c324154c7e1c0"/>
    <w:p>
      <w:pPr>
        <w:pStyle w:val="Heading3"/>
      </w:pPr>
      <w:r>
        <w:t xml:space="preserve">The agent intentionally produces this effect</w:t>
      </w:r>
    </w:p>
    <w:p>
      <w:pPr>
        <w:pStyle w:val="FirstParagraph"/>
      </w:pPr>
      <w:r>
        <w:t xml:space="preserve">Missing: M, I, A, T</w:t>
      </w:r>
    </w:p>
    <w:p>
      <w:pPr>
        <w:pStyle w:val="BodyText"/>
      </w:pPr>
      <w:r>
        <w:t xml:space="preserve">The added premise connects the chosen plan to the actual effect.</w:t>
      </w:r>
    </w:p>
    <w:bookmarkEnd w:id="101"/>
    <w:bookmarkStart w:id="102" w:name="X7a0a09d162215bae485852db5ff1eac94b2dfda"/>
    <w:p>
      <w:pPr>
        <w:pStyle w:val="Heading3"/>
      </w:pPr>
      <w:r>
        <w:t xml:space="preserve">Action with the same intrinsic source actuality</w:t>
      </w:r>
    </w:p>
    <w:p>
      <w:pPr>
        <w:pStyle w:val="FirstParagraph"/>
      </w:pPr>
      <w:r>
        <w:t xml:space="preserve">Missing: M, I, A, T</w:t>
      </w:r>
    </w:p>
    <w:p>
      <w:pPr>
        <w:pStyle w:val="BodyText"/>
      </w:pPr>
      <w:r>
        <w:t xml:space="preserve">The relational account of intentional action still needs philosophical defense.</w:t>
      </w:r>
    </w:p>
    <w:bookmarkEnd w:id="102"/>
    <w:bookmarkStart w:id="103" w:name="X2403b58c04d856634f17aac5afba2d96de4ef75"/>
    <w:p>
      <w:pPr>
        <w:pStyle w:val="Heading3"/>
      </w:pPr>
      <w:r>
        <w:t xml:space="preserve">Knowledge of the effect through actual action</w:t>
      </w:r>
    </w:p>
    <w:p>
      <w:pPr>
        <w:pStyle w:val="FirstParagraph"/>
      </w:pPr>
      <w:r>
        <w:t xml:space="preserve">Missing: I, A, T, R, CT, EP</w:t>
      </w:r>
    </w:p>
    <w:p>
      <w:pPr>
        <w:pStyle w:val="BodyText"/>
      </w:pPr>
      <w:r>
        <w:t xml:space="preserve">Awareness of the action, disclosure of its effect, and explicit warrant establish this limited knowledge. Non-receptive divine knowledge additionally requires an argument that this awareness is not acquired from the effect; omniscience requires further work.</w:t>
      </w:r>
    </w:p>
    <w:bookmarkEnd w:id="103"/>
    <w:p>
      <w:pPr>
        <w:pStyle w:val="BodyText"/>
      </w:pPr>
      <w:r>
        <w:rPr>
          <w:b/>
          <w:bCs/>
        </w:rPr>
        <w:t xml:space="preserve">Still open with every box selected:</w:t>
      </w:r>
      <w:r>
        <w:t xml:space="preserve"> </w:t>
      </w:r>
      <w:r>
        <w:t xml:space="preserve">full simplicity beyond defended dependence arguments; how particular intentional actions can occur without a difference in intrinsic source actuality; adequate knowledge of all secondary free acts and all truths.</w:t>
      </w:r>
    </w:p>
    <w:bookmarkStart w:id="104" w:name="deletion-diagnostics"/>
    <w:p>
      <w:pPr>
        <w:pStyle w:val="Heading3"/>
      </w:pPr>
      <w:r>
        <w:t xml:space="preserve">DELETION DIAGNOSTICS</w:t>
      </w:r>
    </w:p>
    <w:p>
      <w:pPr>
        <w:pStyle w:val="FirstParagraph"/>
      </w:pPr>
      <w:r>
        <w:rPr>
          <w:b/>
          <w:bCs/>
        </w:rPr>
        <w:t xml:space="preserve">Without M: Necessary emanator</w:t>
      </w:r>
      <w:r>
        <w:t xml:space="preserve">A necessary finite emanation remains compatible with the participation profile.</w:t>
      </w:r>
    </w:p>
    <w:p>
      <w:pPr>
        <w:pStyle w:val="BodyText"/>
      </w:pPr>
      <w:r>
        <w:rPr>
          <w:b/>
          <w:bCs/>
        </w:rPr>
        <w:t xml:space="preserve">Without I: Action without understanding</w:t>
      </w:r>
      <w:r>
        <w:t xml:space="preserve">A choice made by the agent can remain uncomprehending; alternatives alone supply no rational understanding.</w:t>
      </w:r>
    </w:p>
    <w:p>
      <w:pPr>
        <w:pStyle w:val="BodyText"/>
      </w:pPr>
      <w:r>
        <w:rPr>
          <w:b/>
          <w:bCs/>
        </w:rPr>
        <w:t xml:space="preserve">Without A: Source-level lottery</w:t>
      </w:r>
      <w:r>
        <w:t xml:space="preserve">An impersonal spontaneous process can select among alternatives while every effect remains source-dependent.</w:t>
      </w:r>
    </w:p>
    <w:p>
      <w:pPr>
        <w:pStyle w:val="BodyText"/>
      </w:pPr>
      <w:r>
        <w:rPr>
          <w:b/>
          <w:bCs/>
        </w:rPr>
        <w:t xml:space="preserve">Without T: Intention without effective specification</w:t>
      </w:r>
      <w:r>
        <w:t xml:space="preserve">An intended plan need not coincide with the actual outcome. Other specification ontologies may supply a substitute.</w:t>
      </w:r>
    </w:p>
    <w:p>
      <w:pPr>
        <w:pStyle w:val="BodyText"/>
      </w:pPr>
      <w:r>
        <w:rPr>
          <w:b/>
          <w:bCs/>
        </w:rPr>
        <w:t xml:space="preserve">Without R: Capacity-aware source</w:t>
      </w:r>
      <w:r>
        <w:t xml:space="preserve">Possibilities remain known while which exercise is actual is not disclosed. Other non-receptive epistemologies remain possible.</w:t>
      </w:r>
    </w:p>
    <w:p>
      <w:pPr>
        <w:pStyle w:val="BodyText"/>
      </w:pPr>
      <w:r>
        <w:rPr>
          <w:b/>
          <w:bCs/>
        </w:rPr>
        <w:t xml:space="preserve">Without CT: Effect not disclosed by the action</w:t>
      </w:r>
      <w:r>
        <w:t xml:space="preserve">Awareness of one’s action need not disclose every external result. Scope and adequacy still need defending.</w:t>
      </w:r>
    </w:p>
    <w:p>
      <w:pPr>
        <w:pStyle w:val="BodyText"/>
      </w:pPr>
      <w:r>
        <w:rPr>
          <w:b/>
          <w:bCs/>
        </w:rPr>
        <w:t xml:space="preserve">Without EP: Accurate access without warranted knowledge</w:t>
      </w:r>
      <w:r>
        <w:t xml:space="preserve">Correct access records may coexist with an unsupported knowledge claim. If R is instead defined as fully warranted knowledge, this bridge is absorbed into that stronger premise.</w:t>
      </w:r>
    </w:p>
    <w:p>
      <w:pPr>
        <w:pStyle w:val="BodyText"/>
      </w:pPr>
      <w:r>
        <w:t xml:space="preserve">Dependency explorer, not a theorem prover. Programmed paths are not proofs of philosophical truth or universal underivability. Checked models and schematic objections are identified separately in the formal audit.</w:t>
      </w:r>
    </w:p>
    <w:bookmarkEnd w:id="104"/>
    <w:p>
      <w:pPr>
        <w:pStyle w:val="BodyText"/>
      </w:pPr>
      <w:r>
        <w:t xml:space="preserve">08 / MAP</w:t>
      </w:r>
    </w:p>
    <w:bookmarkStart w:id="105" w:name="distinct-arguments-one-architecture."/>
    <w:p>
      <w:pPr>
        <w:pStyle w:val="Heading2"/>
      </w:pPr>
      <w:r>
        <w:t xml:space="preserve">Distinct arguments, one architecture.</w:t>
      </w:r>
    </w:p>
    <w:p>
      <w:pPr>
        <w:pStyle w:val="FirstParagraph"/>
      </w:pPr>
      <w:r>
        <w:t xml:space="preserve">The arrows identify different explanatory jobs. A result about constitution cannot silently supply alternatives, intentional control, or cognitive warrant.</w:t>
      </w:r>
    </w:p>
    <w:bookmarkEnd w:id="105"/>
    <w:p>
      <w:pPr>
        <w:pStyle w:val="BodyText"/>
      </w:pPr>
      <w:r>
        <w:t xml:space="preserve">Argument map</w:t>
      </w:r>
    </w:p>
    <w:p>
      <w:pPr>
        <w:pStyle w:val="BodyText"/>
      </w:pPr>
      <w:r>
        <w:t xml:space="preserve">The five working engines organize these tasks without pretending to be five metaphysical primitives. Determination–Realization asks what the relevant difference requires in reality. Dependence–Origin asks what supplies actuality, unity, or perfection. Possibility–Agency separates alternatives from actual choice.</w:t>
      </w:r>
      <w:r>
        <w:t xml:space="preserve"> </w:t>
      </w:r>
      <w:hyperlink r:id="rId106">
        <w:r>
          <w:rPr>
            <w:rStyle w:val="Hyperlink"/>
          </w:rPr>
          <w:t xml:space="preserve">Manifestation</w:t>
        </w:r>
      </w:hyperlink>
      <w:r>
        <w:t xml:space="preserve">–</w:t>
      </w:r>
      <w:hyperlink r:id="rId107">
        <w:r>
          <w:rPr>
            <w:rStyle w:val="Hyperlink"/>
          </w:rPr>
          <w:t xml:space="preserve">Measure</w:t>
        </w:r>
      </w:hyperlink>
      <w:r>
        <w:t xml:space="preserve"> </w:t>
      </w:r>
      <w:r>
        <w:t xml:space="preserve">asks what an action genuinely discloses. Goodness–Fulfillment asks why communication can be a good for its recipient without completing its source.</w:t>
      </w:r>
    </w:p>
    <w:p>
      <w:pPr>
        <w:pStyle w:val="BodyText"/>
      </w:pPr>
      <w:r>
        <w:t xml:space="preserve">Participation connects the inquiry to Part I: what is received is genuinely possessed by the creature. Intelligent exercise, expression of the source, and orientation toward fulfillment need further bridges. None is contained simply in the word “received.”</w:t>
      </w:r>
    </w:p>
    <w:p>
      <w:pPr>
        <w:pStyle w:val="BodyText"/>
      </w:pPr>
      <w:r>
        <w:t xml:space="preserve">Adopted source profile</w:t>
      </w:r>
      <w:r>
        <w:t xml:space="preserve"> </w:t>
      </w:r>
      <w:r>
        <w:t xml:space="preserve">— not derived from the word participation</w:t>
      </w:r>
    </w:p>
    <w:p>
      <w:pPr>
        <w:pStyle w:val="BodyText"/>
      </w:pPr>
      <w:r>
        <w:rPr>
          <w:b/>
          <w:bCs/>
        </w:rPr>
        <w:t xml:space="preserve">Underivation + KD</w:t>
      </w:r>
      <w:r>
        <w:t xml:space="preserve">CONDITIONAL IMPLICATION</w:t>
      </w:r>
      <w:r>
        <w:t xml:space="preserve">No proper intrinsic constituents</w:t>
      </w:r>
    </w:p>
    <w:p>
      <w:pPr>
        <w:pStyle w:val="BodyText"/>
      </w:pPr>
      <w:r>
        <w:t xml:space="preserve">↓ examine each proposed further structure</w:t>
      </w:r>
    </w:p>
    <w:p>
      <w:pPr>
        <w:pStyle w:val="BodyText"/>
      </w:pPr>
      <w:r>
        <w:rPr>
          <w:b/>
          <w:bCs/>
        </w:rPr>
        <w:t xml:space="preserve">Stronger simplicity claims</w:t>
      </w:r>
      <w:r>
        <w:t xml:space="preserve">SEPARATE DEFENDED BRIDGES / OPEN CASES</w:t>
      </w:r>
      <w:r>
        <w:t xml:space="preserve">Act/potency · essence/existence · attributes · relations</w:t>
      </w:r>
    </w:p>
    <w:p>
      <w:pPr>
        <w:pStyle w:val="BodyText"/>
      </w:pPr>
      <w:r>
        <w:rPr>
          <w:b/>
          <w:bCs/>
        </w:rPr>
        <w:t xml:space="preserve">Optional X</w:t>
      </w:r>
      <w:r>
        <w:t xml:space="preserve">ADDITIONAL MODAL COMMITMENT</w:t>
      </w:r>
      <w:r>
        <w:t xml:space="preserve">Same intrinsic actuality across possible outcomes</w:t>
      </w:r>
    </w:p>
    <w:p>
      <w:pPr>
        <w:pStyle w:val="BodyText"/>
      </w:pPr>
      <w:r>
        <w:rPr>
          <w:b/>
          <w:bCs/>
        </w:rPr>
        <w:t xml:space="preserve">Modal openness</w:t>
      </w:r>
      <w:r>
        <w:t xml:space="preserve">ADDED PREMISE</w:t>
      </w:r>
      <w:r>
        <w:t xml:space="preserve">A · B · no creation</w:t>
      </w:r>
    </w:p>
    <w:p>
      <w:pPr>
        <w:pStyle w:val="BodyText"/>
      </w:pPr>
      <w:r>
        <w:t xml:space="preserve">+ understood reasons + intentional control</w:t>
      </w:r>
    </w:p>
    <w:p>
      <w:pPr>
        <w:pStyle w:val="BodyText"/>
      </w:pPr>
      <w:r>
        <w:rPr>
          <w:b/>
          <w:bCs/>
        </w:rPr>
        <w:t xml:space="preserve">Intentional action</w:t>
      </w:r>
      <w:r>
        <w:t xml:space="preserve">CONSTRUCTIVE AGENCY RESOURCE</w:t>
      </w:r>
      <w:r>
        <w:t xml:space="preserve">Actual intentional action is an added commitment, not supplied by fullness</w:t>
      </w:r>
    </w:p>
    <w:p>
      <w:pPr>
        <w:pStyle w:val="BodyText"/>
      </w:pPr>
      <w:r>
        <w:t xml:space="preserve">+ the intended plan corresponds to the effect</w:t>
      </w:r>
    </w:p>
    <w:p>
      <w:pPr>
        <w:pStyle w:val="BodyText"/>
      </w:pPr>
      <w:r>
        <w:rPr>
          <w:b/>
          <w:bCs/>
        </w:rPr>
        <w:t xml:space="preserve">The intended creation actually occurs</w:t>
      </w:r>
      <w:r>
        <w:t xml:space="preserve">CANDIDATE COMPATIBILITY WITH NONCOMPOSITION</w:t>
      </w:r>
      <w:r>
        <w:t xml:space="preserve">X requires a disputed account of action as a real relation</w:t>
      </w:r>
    </w:p>
    <w:p>
      <w:pPr>
        <w:pStyle w:val="BodyText"/>
      </w:pPr>
      <w:r>
        <w:t xml:space="preserve">+ R + CT + EP: access, transparency, warrant</w:t>
      </w:r>
    </w:p>
    <w:p>
      <w:pPr>
        <w:pStyle w:val="BodyText"/>
      </w:pPr>
      <w:r>
        <w:rPr>
          <w:b/>
          <w:bCs/>
        </w:rPr>
        <w:t xml:space="preserve">Knowledge without learning from the effect</w:t>
      </w:r>
      <w:r>
        <w:t xml:space="preserve">CONDITIONAL EPISTEMIC ACCOUNT</w:t>
      </w:r>
      <w:r>
        <w:t xml:space="preserve">Limited to what the actual action adequately discloses</w:t>
      </w:r>
    </w:p>
    <w:p>
      <w:pPr>
        <w:pStyle w:val="BodyText"/>
      </w:pPr>
      <w:r>
        <w:t xml:space="preserve">09 / HISTORY</w:t>
      </w:r>
    </w:p>
    <w:bookmarkStart w:id="108" w:name="exemplars-at-different-joints."/>
    <w:p>
      <w:pPr>
        <w:pStyle w:val="Heading2"/>
      </w:pPr>
      <w:r>
        <w:t xml:space="preserve">Exemplars at different joints.</w:t>
      </w:r>
    </w:p>
    <w:p>
      <w:pPr>
        <w:pStyle w:val="FirstParagraph"/>
      </w:pPr>
      <w:r>
        <w:t xml:space="preserve">No final system is attributed to these authors. The constructive architecture can develop beyond them, provided it preserves the achievements it retrieves and makes disagreement visible.</w:t>
      </w:r>
    </w:p>
    <w:bookmarkEnd w:id="108"/>
    <w:p>
      <w:pPr>
        <w:pStyle w:val="BodyText"/>
      </w:pPr>
      <w:r>
        <w:t xml:space="preserve">Historical resources</w:t>
      </w:r>
    </w:p>
    <w:p>
      <w:pPr>
        <w:pStyle w:val="BodyText"/>
      </w:pPr>
      <w:r>
        <w:t xml:space="preserve">Constitution &amp; rational excellence</w:t>
      </w:r>
    </w:p>
    <w:bookmarkStart w:id="109" w:name="anselm"/>
    <w:p>
      <w:pPr>
        <w:pStyle w:val="Heading3"/>
      </w:pPr>
      <w:r>
        <w:t xml:space="preserve">Anselm</w:t>
      </w:r>
    </w:p>
    <w:p>
      <w:pPr>
        <w:pStyle w:val="FirstParagraph"/>
      </w:pPr>
      <w:r>
        <w:t xml:space="preserve">Composite dependence, unchanged intrinsic nature with changing relative predication, and freedom as rectitude for its own sake.</w:t>
      </w:r>
    </w:p>
    <w:p>
      <w:pPr>
        <w:pStyle w:val="BodyText"/>
      </w:pPr>
      <w:r>
        <w:t xml:space="preserve">The freedom passages are consulted through Williams’s specialist entry; they are not a deduction of creation alternatives.</w:t>
      </w:r>
    </w:p>
    <w:p>
      <w:pPr>
        <w:pStyle w:val="BodyText"/>
      </w:pPr>
      <w:r>
        <w:t xml:space="preserve">Monologion 17, 25; De libertate arbitrii 3; De veritate 12</w:t>
      </w:r>
    </w:p>
    <w:p>
      <w:pPr>
        <w:pStyle w:val="BodyText"/>
      </w:pPr>
      <w:r>
        <w:t xml:space="preserve">Constitution, voluntary expression &amp; knowledge as cause</w:t>
      </w:r>
    </w:p>
    <w:bookmarkEnd w:id="109"/>
    <w:bookmarkStart w:id="110" w:name="aquinas"/>
    <w:p>
      <w:pPr>
        <w:pStyle w:val="Heading3"/>
      </w:pPr>
      <w:r>
        <w:t xml:space="preserve">Aquinas</w:t>
      </w:r>
    </w:p>
    <w:p>
      <w:pPr>
        <w:pStyle w:val="FirstParagraph"/>
      </w:pPr>
      <w:r>
        <w:t xml:space="preserve">Composition depends on components; simple willing can communicate goodness; knowledge causes insofar as joined to willing.</w:t>
      </w:r>
    </w:p>
    <w:p>
      <w:pPr>
        <w:pStyle w:val="BodyText"/>
      </w:pPr>
      <w:r>
        <w:t xml:space="preserve">His account supplies resources, not proof of the new relational account of action or a completed response to modal collapse.</w:t>
      </w:r>
    </w:p>
    <w:p>
      <w:pPr>
        <w:pStyle w:val="BodyText"/>
      </w:pPr>
      <w:r>
        <w:t xml:space="preserve">ST I q.3 a.7; q.14 aa.5, 8; q.19 aa.2–3</w:t>
      </w:r>
    </w:p>
    <w:p>
      <w:pPr>
        <w:pStyle w:val="BodyText"/>
      </w:pPr>
      <w:r>
        <w:t xml:space="preserve">Live contingency</w:t>
      </w:r>
    </w:p>
    <w:bookmarkEnd w:id="110"/>
    <w:bookmarkStart w:id="111" w:name="scotus"/>
    <w:p>
      <w:pPr>
        <w:pStyle w:val="Heading3"/>
      </w:pPr>
      <w:r>
        <w:t xml:space="preserve">Scotus</w:t>
      </w:r>
    </w:p>
    <w:p>
      <w:pPr>
        <w:pStyle w:val="FirstParagraph"/>
      </w:pPr>
      <w:r>
        <w:t xml:space="preserve">Alternatives at the act of choice, rather than later changes of thought; freedom not merely intellectual appetite.</w:t>
      </w:r>
    </w:p>
    <w:p>
      <w:pPr>
        <w:pStyle w:val="BodyText"/>
      </w:pPr>
      <w:r>
        <w:t xml:space="preserve">Current specialist interpretation consulted. Critical d.39 primary collation remains pending; identical intrinsic actuality across possible worlds is not inferred.</w:t>
      </w:r>
    </w:p>
    <w:p>
      <w:pPr>
        <w:pStyle w:val="BodyText"/>
      </w:pPr>
      <w:r>
        <w:t xml:space="preserve">Williams, “John Duns Scotus,” §5.2; Lectura I d.39 as primary follow-up</w:t>
      </w:r>
    </w:p>
    <w:p>
      <w:pPr>
        <w:pStyle w:val="BodyText"/>
      </w:pPr>
      <w:r>
        <w:t xml:space="preserve">Exemplar intelligence without cognitive acquisition</w:t>
      </w:r>
    </w:p>
    <w:bookmarkEnd w:id="111"/>
    <w:bookmarkStart w:id="112" w:name="augustine"/>
    <w:p>
      <w:pPr>
        <w:pStyle w:val="Heading3"/>
      </w:pPr>
      <w:r>
        <w:t xml:space="preserve">Augustine</w:t>
      </w:r>
    </w:p>
    <w:p>
      <w:pPr>
        <w:pStyle w:val="FirstParagraph"/>
      </w:pPr>
      <w:r>
        <w:t xml:space="preserve">Divine wisdom and immutable knowledge are not received from creatures; ideas are reasons in divine intelligence, rather than external standards.</w:t>
      </w:r>
    </w:p>
    <w:p>
      <w:pPr>
        <w:pStyle w:val="BodyText"/>
      </w:pPr>
      <w:r>
        <w:t xml:space="preserve">City of God passages are primary witnesses; q.46 remains a primary collation lead in this project.</w:t>
      </w:r>
    </w:p>
    <w:p>
      <w:pPr>
        <w:pStyle w:val="BodyText"/>
      </w:pPr>
      <w:r>
        <w:t xml:space="preserve">City of God XI.10, XI.21; De diversis quaestionibus 83 q.46</w:t>
      </w:r>
    </w:p>
    <w:p>
      <w:pPr>
        <w:pStyle w:val="BodyText"/>
      </w:pPr>
      <w:r>
        <w:t xml:space="preserve">Nonpartition &amp; determinate intelligibility</w:t>
      </w:r>
    </w:p>
    <w:bookmarkEnd w:id="112"/>
    <w:bookmarkStart w:id="113" w:name="dionysius-maximus"/>
    <w:p>
      <w:pPr>
        <w:pStyle w:val="Heading3"/>
      </w:pPr>
      <w:r>
        <w:t xml:space="preserve">Dionysius &amp; Maximus</w:t>
      </w:r>
    </w:p>
    <w:p>
      <w:pPr>
        <w:pStyle w:val="FirstParagraph"/>
      </w:pPr>
      <w:r>
        <w:t xml:space="preserve">Undivided communication and differentiated logoi support intelligible finite expression without independent Forms.</w:t>
      </w:r>
    </w:p>
    <w:p>
      <w:pPr>
        <w:pStyle w:val="BodyText"/>
      </w:pPr>
      <w:r>
        <w:t xml:space="preserve">The Greek digital witnesses have OCR/provenance limits. Neither text is made to teach necessary emanation or the proposed specification model.</w:t>
      </w:r>
    </w:p>
    <w:p>
      <w:pPr>
        <w:pStyle w:val="BodyText"/>
      </w:pPr>
      <w:r>
        <w:t xml:space="preserve">Divine Names II.5, V.8; Ambiguum 7</w:t>
      </w:r>
    </w:p>
    <w:p>
      <w:pPr>
        <w:pStyle w:val="BodyText"/>
      </w:pPr>
      <w:r>
        <w:t xml:space="preserve">Continuity with participation</w:t>
      </w:r>
    </w:p>
    <w:bookmarkEnd w:id="113"/>
    <w:bookmarkStart w:id="114" w:name="bonaventure-nyssa"/>
    <w:p>
      <w:pPr>
        <w:pStyle w:val="Heading3"/>
      </w:pPr>
      <w:r>
        <w:t xml:space="preserve">Bonaventure &amp; Nyssa</w:t>
      </w:r>
    </w:p>
    <w:p>
      <w:pPr>
        <w:pStyle w:val="FirstParagraph"/>
      </w:pPr>
      <w:r>
        <w:t xml:space="preserve">Exemplar expression and finite measure; unlimited source excess remains a constraint on agency theory.</w:t>
      </w:r>
    </w:p>
    <w:p>
      <w:pPr>
        <w:pStyle w:val="BodyText"/>
      </w:pPr>
      <w:r>
        <w:t xml:space="preserve">Trinitarian diffusion of goodness is not an argument for necessary created production; Nyssen infinity does not establish modal alternatives.</w:t>
      </w:r>
    </w:p>
    <w:p>
      <w:pPr>
        <w:pStyle w:val="BodyText"/>
      </w:pPr>
      <w:r>
        <w:t xml:space="preserve">Itinerarium II–III, VI.2; On the Making of Man XVI</w:t>
      </w:r>
    </w:p>
    <w:p>
      <w:pPr>
        <w:pStyle w:val="BodyText"/>
      </w:pPr>
      <w:r>
        <w:t xml:space="preserve">Expression / constitution stress test</w:t>
      </w:r>
    </w:p>
    <w:bookmarkEnd w:id="114"/>
    <w:bookmarkStart w:id="115" w:name="eriugena-przywara"/>
    <w:p>
      <w:pPr>
        <w:pStyle w:val="Heading3"/>
      </w:pPr>
      <w:r>
        <w:t xml:space="preserve">Eriugena &amp; Przywara</w:t>
      </w:r>
    </w:p>
    <w:p>
      <w:pPr>
        <w:pStyle w:val="FirstParagraph"/>
      </w:pPr>
      <w:r>
        <w:t xml:space="preserve">Theophany and the Creator–creature interval test whether real manifestation becomes source constitution.</w:t>
      </w:r>
    </w:p>
    <w:p>
      <w:pPr>
        <w:pStyle w:val="BodyText"/>
      </w:pPr>
      <w:r>
        <w:t xml:space="preserve">Relevant earlier dossiers are reused; Przywara’s full text remains unconsulted. Greater dissimilarity is not a substitute for a bridge argument.</w:t>
      </w:r>
    </w:p>
    <w:p>
      <w:pPr>
        <w:pStyle w:val="BodyText"/>
      </w:pPr>
      <w:r>
        <w:t xml:space="preserve">Periphyseon I.446D, I.455B; Analogia Entis</w:t>
      </w:r>
    </w:p>
    <w:p>
      <w:pPr>
        <w:pStyle w:val="BodyText"/>
      </w:pPr>
      <w:r>
        <w:t xml:space="preserve">Development &amp; adversarial control</w:t>
      </w:r>
    </w:p>
    <w:bookmarkEnd w:id="115"/>
    <w:bookmarkStart w:id="116" w:name="newman-and-further-resources"/>
    <w:p>
      <w:pPr>
        <w:pStyle w:val="Heading3"/>
      </w:pPr>
      <w:r>
        <w:t xml:space="preserve">Newman and further resources</w:t>
      </w:r>
    </w:p>
    <w:p>
      <w:pPr>
        <w:pStyle w:val="FirstParagraph"/>
      </w:pPr>
      <w:r>
        <w:t xml:space="preserve">Organic development may introduce new explanatory concepts; contemporary objections test truthmaking and modal consistency.</w:t>
      </w:r>
    </w:p>
    <w:p>
      <w:pPr>
        <w:pStyle w:val="BodyText"/>
      </w:pPr>
      <w:r>
        <w:t xml:space="preserve">Newman provides an analogy, not doctrinal certification. Modern discussion does not predetermine the constructive result.</w:t>
      </w:r>
    </w:p>
    <w:p>
      <w:pPr>
        <w:pStyle w:val="BodyText"/>
      </w:pPr>
      <w:r>
        <w:t xml:space="preserve">Essay on Development ch.V; Vallicella, “Divine Simplicity,” §§6–7</w:t>
      </w:r>
    </w:p>
    <w:bookmarkEnd w:id="116"/>
    <w:p>
      <w:pPr>
        <w:pStyle w:val="BodyText"/>
      </w:pPr>
      <w:r>
        <w:t xml:space="preserve">10 / DEVELOPMENT</w:t>
      </w:r>
    </w:p>
    <w:bookmarkStart w:id="117" w:name="Xd78e634de97dd968378de14ccd8ccef1a8fe95e"/>
    <w:p>
      <w:pPr>
        <w:pStyle w:val="Heading2"/>
      </w:pPr>
      <w:r>
        <w:t xml:space="preserve">Development has constraints, not a fixed ceiling.</w:t>
      </w:r>
    </w:p>
    <w:p>
      <w:pPr>
        <w:pStyle w:val="FirstParagraph"/>
      </w:pPr>
      <w:r>
        <w:t xml:space="preserve">Newman is an analogical methodological guide. Historical continuity neither guarantees metaphysical truth nor forbids a genuinely new explanatory distinction.</w:t>
      </w:r>
    </w:p>
    <w:bookmarkEnd w:id="117"/>
    <w:p>
      <w:pPr>
        <w:pStyle w:val="BodyText"/>
      </w:pPr>
      <w:r>
        <w:t xml:space="preserve">Provisional continuity assessment</w:t>
      </w:r>
    </w:p>
    <w:p>
      <w:pPr>
        <w:pStyle w:val="BodyText"/>
      </w:pPr>
      <w:r>
        <w:t xml:space="preserve">The candidate preserves type by retaining an uncreated source, real finite recipients, communication without partition, and perfection without divine completion. It conserves the distinctions between possibility and actualization, personal origin and created dependence, intelligibility and knowledge. It assimilates exemplarism, rational willing, and live contingency without making their historical vocabularies interchangeable.</w:t>
      </w:r>
    </w:p>
    <w:p>
      <w:pPr>
        <w:pStyle w:val="BodyText"/>
      </w:pPr>
      <w:r>
        <w:t xml:space="preserve">Its positive development is the conjunction of determinate fullness and gratuitous communication. The source need not be emptied of wisdom, goodness, or agency to remain simple; the creature need not become a divine constituent to receive a real good. That conjunction is historically rooted. The relational account of different complete creative actions under X is a further constructive proposal, and its independent warrant remains at issue.</w:t>
      </w:r>
    </w:p>
    <w:p>
      <w:pPr>
        <w:pStyle w:val="BodyText"/>
      </w:pPr>
      <w:r>
        <w:t xml:space="preserve">Logical sequence requires a named bridge at each passage: negative simplicity to warranted positive perfection; fullness to possible communication; alternatives to actual authorship; productive action to knowledge. The proposed architecture preserves the noncomposition theorem while exposing these additional costs. Historical anticipation of its parts is neither proof of the whole nor evidence that it is unprecedented.</w:t>
      </w:r>
    </w:p>
    <w:p>
      <w:pPr>
        <w:pStyle w:val="BodyText"/>
      </w:pPr>
      <w:r>
        <w:t xml:space="preserve">Chronic vigour cannot yet be demonstrated. Present explanatory stability is a provisional test: does the synthesis clarify the difficult joints while preserving real distinctions? If its relational account undermines the defended simplicity account or turns agency into a description of the outcome, development must revise or reject that account rather than harmonize the conflict verbally.</w:t>
      </w:r>
    </w:p>
    <w:bookmarkStart w:id="118" w:name="X19132d569db66f5970dcf055676ebf0bd713864"/>
    <w:p>
      <w:pPr>
        <w:pStyle w:val="Heading3"/>
      </w:pPr>
      <w:r>
        <w:t xml:space="preserve">The seven notes and the development verdict</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Newman’s note</w:t>
            </w:r>
          </w:p>
        </w:tc>
        <w:tc>
          <w:tcPr>
            <w:tcW w:type="dxa" w:w="7452"/>
            <w:shd w:fill="EAE5DA"/>
          </w:tcPr>
          <w:p>
            <w:pPr>
              <w:pStyle w:val="BodyText"/>
              <w:keepNext w:val="0"/>
              <w:spacing w:after="80" w:line="252" w:lineRule="auto"/>
              <w:jc w:val="left"/>
            </w:pPr>
            <w:r>
              <w:rPr>
                <w:rFonts w:ascii="Calibri" w:hAnsi="Calibri"/>
                <w:b/>
                <w:sz w:val="17"/>
              </w:rPr>
              <w:t xml:space="preserve">Present assessment</w:t>
            </w:r>
          </w:p>
        </w:tc>
      </w:tr>
      <w:tr>
        <w:tc>
          <w:tcPr>
            <w:tcW w:type="dxa" w:w="2484"/>
          </w:tcPr>
          <w:p>
            <w:pPr>
              <w:pStyle w:val="BodyText"/>
              <w:keepNext w:val="0"/>
              <w:spacing w:after="80" w:line="252" w:lineRule="auto"/>
              <w:jc w:val="left"/>
            </w:pPr>
            <w:r>
              <w:rPr>
                <w:rFonts w:ascii="Calibri" w:hAnsi="Calibri"/>
                <w:sz w:val="17"/>
              </w:rPr>
              <w:t xml:space="preserve">Preservation of type</w:t>
            </w:r>
          </w:p>
        </w:tc>
        <w:tc>
          <w:tcPr>
            <w:tcW w:type="dxa" w:w="7452"/>
          </w:tcPr>
          <w:p>
            <w:pPr>
              <w:pStyle w:val="BodyText"/>
              <w:keepNext w:val="0"/>
              <w:spacing w:after="80" w:line="252" w:lineRule="auto"/>
              <w:jc w:val="left"/>
            </w:pPr>
            <w:r>
              <w:rPr>
                <w:rFonts w:ascii="Calibri" w:hAnsi="Calibri"/>
                <w:sz w:val="17"/>
              </w:rPr>
              <w:t xml:space="preserve">Uncreated source, finite reception, nonpartition, and real agency are conserved as constraints.</w:t>
            </w:r>
          </w:p>
        </w:tc>
      </w:tr>
      <w:tr>
        <w:tc>
          <w:tcPr>
            <w:tcW w:type="dxa" w:w="2484"/>
          </w:tcPr>
          <w:p>
            <w:pPr>
              <w:pStyle w:val="BodyText"/>
              <w:keepNext w:val="0"/>
              <w:spacing w:after="80" w:line="252" w:lineRule="auto"/>
              <w:jc w:val="left"/>
            </w:pPr>
            <w:r>
              <w:rPr>
                <w:rFonts w:ascii="Calibri" w:hAnsi="Calibri"/>
                <w:sz w:val="17"/>
              </w:rPr>
              <w:t xml:space="preserve">Continuity of principles</w:t>
            </w:r>
          </w:p>
        </w:tc>
        <w:tc>
          <w:tcPr>
            <w:tcW w:type="dxa" w:w="7452"/>
          </w:tcPr>
          <w:p>
            <w:pPr>
              <w:pStyle w:val="BodyText"/>
              <w:keepNext w:val="0"/>
              <w:spacing w:after="80" w:line="252" w:lineRule="auto"/>
              <w:jc w:val="left"/>
            </w:pPr>
            <w:r>
              <w:rPr>
                <w:rFonts w:ascii="Calibri" w:hAnsi="Calibri"/>
                <w:sz w:val="17"/>
              </w:rPr>
              <w:t xml:space="preserve">No effect is introduced as a constitutive or receptive actualizer of the source.</w:t>
            </w:r>
          </w:p>
        </w:tc>
      </w:tr>
      <w:tr>
        <w:tc>
          <w:tcPr>
            <w:tcW w:type="dxa" w:w="2484"/>
          </w:tcPr>
          <w:p>
            <w:pPr>
              <w:pStyle w:val="BodyText"/>
              <w:keepNext w:val="0"/>
              <w:spacing w:after="80" w:line="252" w:lineRule="auto"/>
              <w:jc w:val="left"/>
            </w:pPr>
            <w:r>
              <w:rPr>
                <w:rFonts w:ascii="Calibri" w:hAnsi="Calibri"/>
                <w:sz w:val="17"/>
              </w:rPr>
              <w:t xml:space="preserve">Power of assimilation</w:t>
            </w:r>
          </w:p>
        </w:tc>
        <w:tc>
          <w:tcPr>
            <w:tcW w:type="dxa" w:w="7452"/>
          </w:tcPr>
          <w:p>
            <w:pPr>
              <w:pStyle w:val="BodyText"/>
              <w:keepNext w:val="0"/>
              <w:spacing w:after="80" w:line="252" w:lineRule="auto"/>
              <w:jc w:val="left"/>
            </w:pPr>
            <w:r>
              <w:rPr>
                <w:rFonts w:ascii="Calibri" w:hAnsi="Calibri"/>
                <w:sz w:val="17"/>
              </w:rPr>
              <w:t xml:space="preserve">Distinct causal, modal, intentional, and epistemic resources remain distinguishable.</w:t>
            </w:r>
          </w:p>
        </w:tc>
      </w:tr>
      <w:tr>
        <w:tc>
          <w:tcPr>
            <w:tcW w:type="dxa" w:w="2484"/>
          </w:tcPr>
          <w:p>
            <w:pPr>
              <w:pStyle w:val="BodyText"/>
              <w:keepNext w:val="0"/>
              <w:spacing w:after="80" w:line="252" w:lineRule="auto"/>
              <w:jc w:val="left"/>
            </w:pPr>
            <w:r>
              <w:rPr>
                <w:rFonts w:ascii="Calibri" w:hAnsi="Calibri"/>
                <w:sz w:val="17"/>
              </w:rPr>
              <w:t xml:space="preserve">Logical sequence</w:t>
            </w:r>
          </w:p>
        </w:tc>
        <w:tc>
          <w:tcPr>
            <w:tcW w:type="dxa" w:w="7452"/>
          </w:tcPr>
          <w:p>
            <w:pPr>
              <w:pStyle w:val="BodyText"/>
              <w:keepNext w:val="0"/>
              <w:spacing w:after="80" w:line="252" w:lineRule="auto"/>
              <w:jc w:val="left"/>
            </w:pPr>
            <w:r>
              <w:rPr>
                <w:rFonts w:ascii="Calibri" w:hAnsi="Calibri"/>
                <w:sz w:val="17"/>
              </w:rPr>
              <w:t xml:space="preserve">Each new explanatory job requires a named, audited addition.</w:t>
            </w:r>
          </w:p>
        </w:tc>
      </w:tr>
      <w:tr>
        <w:tc>
          <w:tcPr>
            <w:tcW w:type="dxa" w:w="2484"/>
          </w:tcPr>
          <w:p>
            <w:pPr>
              <w:pStyle w:val="BodyText"/>
              <w:keepNext w:val="0"/>
              <w:spacing w:after="80" w:line="252" w:lineRule="auto"/>
              <w:jc w:val="left"/>
            </w:pPr>
            <w:r>
              <w:rPr>
                <w:rFonts w:ascii="Calibri" w:hAnsi="Calibri"/>
                <w:sz w:val="17"/>
              </w:rPr>
              <w:t xml:space="preserve">Anticipation of its future</w:t>
            </w:r>
          </w:p>
        </w:tc>
        <w:tc>
          <w:tcPr>
            <w:tcW w:type="dxa" w:w="7452"/>
          </w:tcPr>
          <w:p>
            <w:pPr>
              <w:pStyle w:val="BodyText"/>
              <w:keepNext w:val="0"/>
              <w:spacing w:after="80" w:line="252" w:lineRule="auto"/>
              <w:jc w:val="left"/>
            </w:pPr>
            <w:r>
              <w:rPr>
                <w:rFonts w:ascii="Calibri" w:hAnsi="Calibri"/>
                <w:sz w:val="17"/>
              </w:rPr>
              <w:t xml:space="preserve">Prior arguments anticipate some distinctions, not this complete modern model.</w:t>
            </w:r>
          </w:p>
        </w:tc>
      </w:tr>
      <w:tr>
        <w:tc>
          <w:tcPr>
            <w:tcW w:type="dxa" w:w="2484"/>
          </w:tcPr>
          <w:p>
            <w:pPr>
              <w:pStyle w:val="BodyText"/>
              <w:keepNext w:val="0"/>
              <w:spacing w:after="80" w:line="252" w:lineRule="auto"/>
              <w:jc w:val="left"/>
            </w:pPr>
            <w:r>
              <w:rPr>
                <w:rFonts w:ascii="Calibri" w:hAnsi="Calibri"/>
                <w:sz w:val="17"/>
              </w:rPr>
              <w:t xml:space="preserve">Conservative action upon its past</w:t>
            </w:r>
          </w:p>
        </w:tc>
        <w:tc>
          <w:tcPr>
            <w:tcW w:type="dxa" w:w="7452"/>
          </w:tcPr>
          <w:p>
            <w:pPr>
              <w:pStyle w:val="BodyText"/>
              <w:keepNext w:val="0"/>
              <w:spacing w:after="80" w:line="252" w:lineRule="auto"/>
              <w:jc w:val="left"/>
            </w:pPr>
            <w:r>
              <w:rPr>
                <w:rFonts w:ascii="Calibri" w:hAnsi="Calibri"/>
                <w:sz w:val="17"/>
              </w:rPr>
              <w:t xml:space="preserve">The inherited noncomposition theorem remains; genuine differences are not harmonized by definition.</w:t>
            </w:r>
          </w:p>
        </w:tc>
      </w:tr>
      <w:tr>
        <w:tc>
          <w:tcPr>
            <w:tcW w:type="dxa" w:w="2484"/>
          </w:tcPr>
          <w:p>
            <w:pPr>
              <w:pStyle w:val="BodyText"/>
              <w:keepNext w:val="0"/>
              <w:spacing w:after="80" w:line="252" w:lineRule="auto"/>
              <w:jc w:val="left"/>
            </w:pPr>
            <w:r>
              <w:rPr>
                <w:rFonts w:ascii="Calibri" w:hAnsi="Calibri"/>
                <w:sz w:val="17"/>
              </w:rPr>
              <w:t xml:space="preserve">Chronic vigour</w:t>
            </w:r>
          </w:p>
        </w:tc>
        <w:tc>
          <w:tcPr>
            <w:tcW w:type="dxa" w:w="7452"/>
          </w:tcPr>
          <w:p>
            <w:pPr>
              <w:pStyle w:val="BodyText"/>
              <w:keepNext w:val="0"/>
              <w:spacing w:after="80" w:line="252" w:lineRule="auto"/>
              <w:jc w:val="left"/>
            </w:pPr>
            <w:r>
              <w:rPr>
                <w:rFonts w:ascii="Calibri" w:hAnsi="Calibri"/>
                <w:sz w:val="17"/>
              </w:rPr>
              <w:t xml:space="preserve">Not established for a new proposal. Explanatory stability is only a provisional analogue.</w:t>
            </w:r>
          </w:p>
        </w:tc>
      </w:tr>
    </w:tbl>
    <w:bookmarkEnd w:id="118"/>
    <w:p>
      <w:pPr>
        <w:pStyle w:val="BodyText"/>
      </w:pPr>
      <w:hyperlink r:id="rId22">
        <w:r>
          <w:rPr>
            <w:rStyle w:val="Hyperlink"/>
          </w:rPr>
          <w:t xml:space="preserve">Shared reading guide →</w:t>
        </w:r>
      </w:hyperlink>
      <w:hyperlink r:id="rId119">
        <w:r>
          <w:rPr>
            <w:rStyle w:val="Hyperlink"/>
          </w:rPr>
          <w:t xml:space="preserve">Complete Part II report →</w:t>
        </w:r>
      </w:hyperlink>
      <w:hyperlink r:id="rId120">
        <w:r>
          <w:rPr>
            <w:rStyle w:val="Hyperlink"/>
          </w:rPr>
          <w:t xml:space="preserve">Formal audit &amp; models →</w:t>
        </w:r>
      </w:hyperlink>
      <w:hyperlink r:id="rId121">
        <w:r>
          <w:rPr>
            <w:rStyle w:val="Hyperlink"/>
          </w:rPr>
          <w:t xml:space="preserve">Primary/source dossier →</w:t>
        </w:r>
      </w:hyperlink>
      <w:hyperlink r:id="rId122">
        <w:r>
          <w:rPr>
            <w:rStyle w:val="Hyperlink"/>
          </w:rPr>
          <w:t xml:space="preserve">Development assessment →</w:t>
        </w:r>
      </w:hyperlink>
    </w:p>
    <w:p>
      <w:pPr>
        <w:pStyle w:val="BodyText"/>
      </w:pPr>
      <w:r>
        <w:t xml:space="preserve">Q&amp;A / DIRECT ANSWERS</w:t>
      </w:r>
    </w:p>
    <w:bookmarkStart w:id="123" w:name="questions-answers"/>
    <w:p>
      <w:pPr>
        <w:pStyle w:val="Heading2"/>
      </w:pPr>
      <w:r>
        <w:t xml:space="preserve">Questions &amp; answers</w:t>
      </w:r>
    </w:p>
    <w:p>
      <w:pPr>
        <w:pStyle w:val="FirstParagraph"/>
      </w:pPr>
      <w:r>
        <w:t xml:space="preserve">What underivation establishes, what freedom requires, and what still needs an argument.</w:t>
      </w:r>
    </w:p>
    <w:bookmarkEnd w:id="123"/>
    <w:bookmarkStart w:id="131" w:name="X5cf6334b3ce939cbfab1ad178142774ee506d70"/>
    <w:p>
      <w:pPr>
        <w:pStyle w:val="Heading3"/>
      </w:pPr>
      <w:r>
        <w:t xml:space="preserve">04</w:t>
      </w:r>
      <w:r>
        <w:t xml:space="preserve"> </w:t>
      </w:r>
      <w:r>
        <w:t xml:space="preserve">/</w:t>
      </w:r>
      <w:r>
        <w:t xml:space="preserve"> </w:t>
      </w:r>
      <w:r>
        <w:t xml:space="preserve">What follows from God's being underived, and does that establish divine simplicity?</w:t>
      </w:r>
      <w:r>
        <w:t xml:space="preserve">+</w:t>
      </w:r>
    </w:p>
    <w:p>
      <w:pPr>
        <w:pStyle w:val="FirstParagraph"/>
      </w:pPr>
      <w:r>
        <w:t xml:space="preserve">Absolute underivation excludes receiving the actuality of one's being from anything more fundamental. With a further principle that proper intrinsic constituents ground the actuality of the whole they constitute, it excludes such constituents in God. Being merely efficiently uncaused would be weaker: an uncaused whole might still depend upon its constituting principles. The argument must address that deeper dependence.</w:t>
      </w:r>
    </w:p>
    <w:p>
      <w:pPr>
        <w:pStyle w:val="BodyText"/>
      </w:pPr>
      <w:r>
        <w:t xml:space="preserve">The broader simplicity inquiry tests distinct alleged conditions: an actualizer, a unifier, constituents, a constituting natural measure, received existence, and added essential perfection-realities. Each exclusion needs its own bridge; a real distinction is not automatically one of these conditions. Positive fullness also needs another step. First warrant a perfection such as understanding; then ask whether its possession could be received without contradicting underivation. Simplicity governs how a warranted perfection belongs to God. It cannot manufacture the perfection by subtracting parts.</w:t>
      </w:r>
    </w:p>
    <w:bookmarkStart w:id="124" w:name="the-premises-behind-this-answer"/>
    <w:p>
      <w:pPr>
        <w:pStyle w:val="Heading3"/>
      </w:pPr>
      <w:r>
        <w:t xml:space="preserve">The premises behind this answer</w:t>
      </w:r>
    </w:p>
    <w:bookmarkEnd w:id="124"/>
    <w:bookmarkStart w:id="128" w:name="constituents-as-grounds-of-a-whole"/>
    <w:p>
      <w:pPr>
        <w:pStyle w:val="Heading3"/>
      </w:pPr>
      <w:r>
        <w:t xml:space="preserve">Constituents as grounds of a whole</w:t>
      </w:r>
    </w:p>
    <w:p>
      <w:pPr>
        <w:pStyle w:val="FirstParagraph"/>
      </w:pPr>
      <w:r>
        <w:t xml:space="preserve">Uses underivation U and the composition–dependence bridge KD. It does not add the stronger claim of identical intrinsic actuality across alternatives.</w:t>
      </w:r>
    </w:p>
    <w:bookmarkStart w:id="125" w:name="adopt-these-premises"/>
    <w:p>
      <w:pPr>
        <w:pStyle w:val="Heading4"/>
      </w:pPr>
      <w:r>
        <w:t xml:space="preserve">Adopt these premises</w:t>
      </w:r>
    </w:p>
    <w:p>
      <w:pPr>
        <w:pStyle w:val="FirstParagraph"/>
      </w:pPr>
      <w:r>
        <w:rPr>
          <w:b/>
          <w:bCs/>
        </w:rPr>
        <w:t xml:space="preserve">1.</w:t>
      </w:r>
      <w:r>
        <w:t xml:space="preserve"> </w:t>
      </w:r>
      <w:r>
        <w:t xml:space="preserve">Absolute underivation excludes constitutive as well as efficient dependence in the actuality by which the source exists.</w:t>
      </w:r>
    </w:p>
    <w:p>
      <w:pPr>
        <w:pStyle w:val="BodyText"/>
      </w:pPr>
      <w:r>
        <w:rPr>
          <w:b/>
          <w:bCs/>
        </w:rPr>
        <w:t xml:space="preserve">2.</w:t>
      </w:r>
      <w:r>
        <w:t xml:space="preserve"> </w:t>
      </w:r>
      <w:r>
        <w:t xml:space="preserve">When intrinsic constituents make a whole the actual whole it is, its actuality is grounded in their contribution and unity.</w:t>
      </w:r>
    </w:p>
    <w:bookmarkEnd w:id="125"/>
    <w:bookmarkStart w:id="126" w:name="why-adopt-them"/>
    <w:p>
      <w:pPr>
        <w:pStyle w:val="Heading4"/>
      </w:pPr>
      <w:r>
        <w:t xml:space="preserve">Why adopt them?</w:t>
      </w:r>
    </w:p>
    <w:p>
      <w:pPr>
        <w:pStyle w:val="FirstParagraph"/>
      </w:pPr>
      <w:r>
        <w:t xml:space="preserve">The constituents need not occur earlier in time. Their explanatory role is enough: the whole is what it is through them, even if they coexist necessarily with it. Calling the assembly uncaused does not remove that constitutive explanation. This follows the dependence argument explicit in Aquinas, Summa Theologiae I, question 3, article 7, while requiring constitution to be identified independently rather than defined as dependence.</w:t>
      </w:r>
    </w:p>
    <w:bookmarkEnd w:id="126"/>
    <w:bookmarkStart w:id="127" w:name="what-follows-if-they-hold"/>
    <w:p>
      <w:pPr>
        <w:pStyle w:val="Heading4"/>
      </w:pPr>
      <w:r>
        <w:t xml:space="preserve">What follows if they hold?</w:t>
      </w:r>
    </w:p>
    <w:p>
      <w:pPr>
        <w:pStyle w:val="FirstParagraph"/>
      </w:pPr>
      <w:r>
        <w:t xml:space="preserve">An absolutely underived source has no proper intrinsic constituents that constitute its being. Where positive perfection is independently established, underivation additionally excludes its possession through a more basic intrinsic actualizer. The negative exclusion and the positive attribution do different work.</w:t>
      </w:r>
    </w:p>
    <w:p>
      <w:pPr>
        <w:pStyle w:val="BodyText"/>
      </w:pPr>
      <w:r>
        <w:rPr>
          <w:b/>
          <w:bCs/>
        </w:rPr>
        <w:t xml:space="preserve">What remains to defend.</w:t>
      </w:r>
      <w:r>
        <w:t xml:space="preserve"> </w:t>
      </w:r>
      <w:r>
        <w:t xml:space="preserve">A distinction is excluded only if it does the relevant constituting or actualizing work. Stronger attribute identity and intrinsic sameness across possibilities require further arguments.</w:t>
      </w:r>
    </w:p>
    <w:bookmarkEnd w:id="127"/>
    <w:bookmarkEnd w:id="128"/>
    <w:p>
      <w:pPr>
        <w:pStyle w:val="BodyText"/>
      </w:pPr>
      <w:hyperlink r:id="rId129">
        <w:r>
          <w:rPr>
            <w:rStyle w:val="Hyperlink"/>
          </w:rPr>
          <w:t xml:space="preserve">How far the simplicity argument reaches</w:t>
        </w:r>
      </w:hyperlink>
      <w:r>
        <w:t xml:space="preserve"> </w:t>
      </w:r>
      <w:r>
        <w:t xml:space="preserve">|</w:t>
      </w:r>
      <w:r>
        <w:t xml:space="preserve"> </w:t>
      </w:r>
      <w:hyperlink r:id="rId130">
        <w:r>
          <w:rPr>
            <w:rStyle w:val="Hyperlink"/>
          </w:rPr>
          <w:t xml:space="preserve">Distinct routes and additional premises</w:t>
        </w:r>
      </w:hyperlink>
    </w:p>
    <w:bookmarkEnd w:id="131"/>
    <w:bookmarkStart w:id="139" w:name="Xc12e64c97a16978881d4743915c465699f05d81"/>
    <w:p>
      <w:pPr>
        <w:pStyle w:val="Heading3"/>
      </w:pPr>
      <w:r>
        <w:t xml:space="preserve">05</w:t>
      </w:r>
      <w:r>
        <w:t xml:space="preserve"> </w:t>
      </w:r>
      <w:r>
        <w:t xml:space="preserve">/</w:t>
      </w:r>
      <w:r>
        <w:t xml:space="preserve"> </w:t>
      </w:r>
      <w:r>
        <w:t xml:space="preserve">If God is complete and inexhaustible, why would creation be contingent rather than necessary?</w:t>
      </w:r>
      <w:r>
        <w:t xml:space="preserve">+</w:t>
      </w:r>
    </w:p>
    <w:p>
      <w:pPr>
        <w:pStyle w:val="FirstParagraph"/>
      </w:pPr>
      <w:r>
        <w:t xml:space="preserve">Completeness and inexhaustibility alone do not establish contingency. A source could necessarily produce one finite world while remaining unlimited, undivided, and uncompleted by that world. The world's failure to exhaust its source does not show that the world could have been absent. Likewise, production without need could still be necessary production.</w:t>
      </w:r>
    </w:p>
    <w:p>
      <w:pPr>
        <w:pStyle w:val="BodyText"/>
      </w:pPr>
      <w:r>
        <w:t xml:space="preserve">A further modal argument must warrant genuinely different possible created orders and, for the stronger claim, a genuine no-creation alternative. The proposal distinguishes those possibilities from the absence of just one particular creature. Aquinas's account of optional expressions of complete goodness and Scotus's treatment of contingency supply resources, rather than conclusions deduced from non-exhaustion. Christian teaching affirms free creation; this research asks what independently defensible metaphysical principles articulate that commitment. Even warranted alternatives would establish openness, not yet intelligent choice or freedom from every form of necessity.</w:t>
      </w:r>
    </w:p>
    <w:bookmarkStart w:id="132" w:name="the-premises-behind-this-answer-1"/>
    <w:p>
      <w:pPr>
        <w:pStyle w:val="Heading3"/>
      </w:pPr>
      <w:r>
        <w:t xml:space="preserve">The premises behind this answer</w:t>
      </w:r>
    </w:p>
    <w:bookmarkEnd w:id="132"/>
    <w:bookmarkStart w:id="136" w:name="voluntary-action-and-complete-goodness"/>
    <w:p>
      <w:pPr>
        <w:pStyle w:val="Heading3"/>
      </w:pPr>
      <w:r>
        <w:t xml:space="preserve">Voluntary action and complete goodness</w:t>
      </w:r>
    </w:p>
    <w:p>
      <w:pPr>
        <w:pStyle w:val="FirstParagraph"/>
      </w:pPr>
      <w:r>
        <w:t xml:space="preserve">Adds rational agency, genuine modal alternatives, and voluntary action to divine completeness and non-exhaustion.</w:t>
      </w:r>
    </w:p>
    <w:bookmarkStart w:id="133" w:name="adopt-these-premises-1"/>
    <w:p>
      <w:pPr>
        <w:pStyle w:val="Heading4"/>
      </w:pPr>
      <w:r>
        <w:t xml:space="preserve">Adopt these premises</w:t>
      </w:r>
    </w:p>
    <w:p>
      <w:pPr>
        <w:pStyle w:val="FirstParagraph"/>
      </w:pPr>
      <w:r>
        <w:rPr>
          <w:b/>
          <w:bCs/>
        </w:rPr>
        <w:t xml:space="preserve">1.</w:t>
      </w:r>
      <w:r>
        <w:t xml:space="preserve"> </w:t>
      </w:r>
      <w:r>
        <w:t xml:space="preserve">The source is a rational agent whose goodness is complete independently of every finite created expression.</w:t>
      </w:r>
    </w:p>
    <w:p>
      <w:pPr>
        <w:pStyle w:val="BodyText"/>
      </w:pPr>
      <w:r>
        <w:rPr>
          <w:b/>
          <w:bCs/>
        </w:rPr>
        <w:t xml:space="preserve">2.</w:t>
      </w:r>
      <w:r>
        <w:t xml:space="preserve"> </w:t>
      </w:r>
      <w:r>
        <w:t xml:space="preserve">A rational agent's necessary orientation to its complete good need not necessitate a particular expression that neither constitutes that good nor is required for it.</w:t>
      </w:r>
    </w:p>
    <w:p>
      <w:pPr>
        <w:pStyle w:val="BodyText"/>
      </w:pPr>
      <w:r>
        <w:rPr>
          <w:b/>
          <w:bCs/>
        </w:rPr>
        <w:t xml:space="preserve">3.</w:t>
      </w:r>
      <w:r>
        <w:t xml:space="preserve"> </w:t>
      </w:r>
      <w:r>
        <w:t xml:space="preserve">Its active power genuinely extends to alternative fitting expressions and to refraining; these are metaphysical possibilities, rather than merely conceivable descriptions.</w:t>
      </w:r>
    </w:p>
    <w:p>
      <w:pPr>
        <w:pStyle w:val="BodyText"/>
      </w:pPr>
      <w:r>
        <w:rPr>
          <w:b/>
          <w:bCs/>
        </w:rPr>
        <w:t xml:space="preserve">4.</w:t>
      </w:r>
      <w:r>
        <w:t xml:space="preserve"> </w:t>
      </w:r>
      <w:r>
        <w:t xml:space="preserve">The agent actually determines its voluntary action for understood reasons; alternatives are not settled by an independent random or necessitating process.</w:t>
      </w:r>
    </w:p>
    <w:bookmarkEnd w:id="133"/>
    <w:bookmarkStart w:id="134" w:name="why-adopt-them-1"/>
    <w:p>
      <w:pPr>
        <w:pStyle w:val="Heading4"/>
      </w:pPr>
      <w:r>
        <w:t xml:space="preserve">Why adopt them?</w:t>
      </w:r>
    </w:p>
    <w:p>
      <w:pPr>
        <w:pStyle w:val="FirstParagraph"/>
      </w:pPr>
      <w:r>
        <w:t xml:space="preserve">Aquinas distinguishes willing the complete end from necessarily willing every finite thing ordered toward it in Summa Theologiae I, question 19, articles 2–3. This makes the alternative intelligible: communication can express goodness already possessed rather than actualize a deficient giver. The modal conclusion also needs voluntary power with genuine alternatives. The end/means argument alone does not exclude every independent necessity that a rival could posit. Fitting alternatives can answer reasons for generosity without a uniquely obligatory expression.</w:t>
      </w:r>
    </w:p>
    <w:p>
      <w:pPr>
        <w:pStyle w:val="BodyText"/>
      </w:pPr>
      <w:r>
        <w:t xml:space="preserve">Necessarily, if an infallibly efficacious intention toward this world is actually exercised, this world exists. It does not follow that the intention must be exercised. To force that conclusion, the rival needs a further premise making the complete world-specific intention necessary. The proposed account places the contingent difference in voluntary direction; defending that account remains part of the inquiry.</w:t>
      </w:r>
    </w:p>
    <w:bookmarkEnd w:id="134"/>
    <w:bookmarkStart w:id="135" w:name="what-follows-if-they-hold-1"/>
    <w:p>
      <w:pPr>
        <w:pStyle w:val="Heading4"/>
      </w:pPr>
      <w:r>
        <w:t xml:space="preserve">What follows if they hold?</w:t>
      </w:r>
    </w:p>
    <w:p>
      <w:pPr>
        <w:pStyle w:val="FirstParagraph"/>
      </w:pPr>
      <w:r>
        <w:t xml:space="preserve">Given those powers and alternatives, creation can be a voluntary expression of complete goodness, including a genuine possibility of no created expression.</w:t>
      </w:r>
    </w:p>
    <w:p>
      <w:pPr>
        <w:pStyle w:val="BodyText"/>
      </w:pPr>
      <w:r>
        <w:rPr>
          <w:b/>
          <w:bCs/>
        </w:rPr>
        <w:t xml:space="preserve">What remains to defend.</w:t>
      </w:r>
      <w:r>
        <w:t xml:space="preserve"> </w:t>
      </w:r>
      <w:r>
        <w:t xml:space="preserve">Rational agency, multi-outcome creative power, and actual voluntary choice are additional commitments. None follows from non-exhaustion alone.</w:t>
      </w:r>
    </w:p>
    <w:bookmarkEnd w:id="135"/>
    <w:bookmarkEnd w:id="136"/>
    <w:p>
      <w:pPr>
        <w:pStyle w:val="BodyText"/>
      </w:pPr>
      <w:hyperlink r:id="rId137">
        <w:r>
          <w:rPr>
            <w:rStyle w:val="Hyperlink"/>
          </w:rPr>
          <w:t xml:space="preserve">The necessary-emanation countermodel</w:t>
        </w:r>
      </w:hyperlink>
      <w:r>
        <w:t xml:space="preserve"> </w:t>
      </w:r>
      <w:r>
        <w:t xml:space="preserve">|</w:t>
      </w:r>
      <w:r>
        <w:t xml:space="preserve"> </w:t>
      </w:r>
      <w:hyperlink r:id="rId138">
        <w:r>
          <w:rPr>
            <w:rStyle w:val="Hyperlink"/>
          </w:rPr>
          <w:t xml:space="preserve">The earlier freedom test</w:t>
        </w:r>
      </w:hyperlink>
    </w:p>
    <w:bookmarkEnd w:id="139"/>
    <w:bookmarkStart w:id="148" w:name="X17035502c9d8ef15daeca7734b2630477ce5587"/>
    <w:p>
      <w:pPr>
        <w:pStyle w:val="Heading3"/>
      </w:pPr>
      <w:r>
        <w:t xml:space="preserve">06</w:t>
      </w:r>
      <w:r>
        <w:t xml:space="preserve"> </w:t>
      </w:r>
      <w:r>
        <w:t xml:space="preserve">/</w:t>
      </w:r>
      <w:r>
        <w:t xml:space="preserve"> </w:t>
      </w:r>
      <w:r>
        <w:t xml:space="preserve">What makes possible alternatives a free intelligent act rather than random branching?</w:t>
      </w:r>
      <w:r>
        <w:t xml:space="preserve">+</w:t>
      </w:r>
    </w:p>
    <w:p>
      <w:pPr>
        <w:pStyle w:val="FirstParagraph"/>
      </w:pPr>
      <w:r>
        <w:t xml:space="preserve">A free intelligent action requires four contributions. Real alternatives establish what could occur. Reasons explain why an outcome is fitting. Actual voluntary direction makes this outcome the agent's doing. Efficacy explains why the intended result occurs. Mere branching establishes none of the last three. An intention can fail; an outcome can occur accidentally; an agent can understand alternatives without acting. Keeping these contributions distinct makes the positive account of agency assessable.</w:t>
      </w:r>
    </w:p>
    <w:p>
      <w:pPr>
        <w:pStyle w:val="BodyText"/>
      </w:pPr>
      <w:r>
        <w:t xml:space="preserve">A reason can make several actions intelligible without necessitating one uniquely. This allows rational action without reducing choice to either compulsion or a lottery. But invoking reasons and control does not yet demonstrate that an underived source has them, or settle every objection concerning explanation of the particular choice. Intelligent agency is an additional commitment requiring defense. The next question is harder still: what makes this actual intention distinct from another while preserving the proposed divine simplicity?</w:t>
      </w:r>
    </w:p>
    <w:bookmarkStart w:id="140" w:name="the-premises-behind-this-answer-2"/>
    <w:p>
      <w:pPr>
        <w:pStyle w:val="Heading3"/>
      </w:pPr>
      <w:r>
        <w:t xml:space="preserve">The premises behind this answer</w:t>
      </w:r>
    </w:p>
    <w:bookmarkEnd w:id="140"/>
    <w:bookmarkStart w:id="144" w:name="reason-guided-control-of-actual-action"/>
    <w:p>
      <w:pPr>
        <w:pStyle w:val="Heading3"/>
      </w:pPr>
      <w:r>
        <w:t xml:space="preserve">Reason-guided control of actual action</w:t>
      </w:r>
    </w:p>
    <w:p>
      <w:pPr>
        <w:pStyle w:val="FirstParagraph"/>
      </w:pPr>
      <w:r>
        <w:t xml:space="preserve">Adds understanding, actual control, and successful intentional production to the modal alternatives.</w:t>
      </w:r>
    </w:p>
    <w:bookmarkStart w:id="141" w:name="adopt-these-premises-2"/>
    <w:p>
      <w:pPr>
        <w:pStyle w:val="Heading4"/>
      </w:pPr>
      <w:r>
        <w:t xml:space="preserve">Adopt these premises</w:t>
      </w:r>
    </w:p>
    <w:p>
      <w:pPr>
        <w:pStyle w:val="FirstParagraph"/>
      </w:pPr>
      <w:r>
        <w:rPr>
          <w:b/>
          <w:bCs/>
        </w:rPr>
        <w:t xml:space="preserve">1.</w:t>
      </w:r>
      <w:r>
        <w:t xml:space="preserve"> </w:t>
      </w:r>
      <w:r>
        <w:t xml:space="preserve">The agent understands live possibilities and reasons making an intended end fitting.</w:t>
      </w:r>
    </w:p>
    <w:p>
      <w:pPr>
        <w:pStyle w:val="BodyText"/>
      </w:pPr>
      <w:r>
        <w:rPr>
          <w:b/>
          <w:bCs/>
        </w:rPr>
        <w:t xml:space="preserve">2.</w:t>
      </w:r>
      <w:r>
        <w:t xml:space="preserve"> </w:t>
      </w:r>
      <w:r>
        <w:t xml:space="preserve">The agent actually controls its choice and action; a necessitating mechanism or accidental branching does not settle the outcome in its place.</w:t>
      </w:r>
    </w:p>
    <w:p>
      <w:pPr>
        <w:pStyle w:val="BodyText"/>
      </w:pPr>
      <w:r>
        <w:rPr>
          <w:b/>
          <w:bCs/>
        </w:rPr>
        <w:t xml:space="preserve">3.</w:t>
      </w:r>
      <w:r>
        <w:t xml:space="preserve"> </w:t>
      </w:r>
      <w:r>
        <w:t xml:space="preserve">The action effectively produces its intended result.</w:t>
      </w:r>
    </w:p>
    <w:bookmarkEnd w:id="141"/>
    <w:bookmarkStart w:id="142" w:name="why-adopt-them-2"/>
    <w:p>
      <w:pPr>
        <w:pStyle w:val="Heading4"/>
      </w:pPr>
      <w:r>
        <w:t xml:space="preserve">Why adopt them?</w:t>
      </w:r>
    </w:p>
    <w:p>
      <w:pPr>
        <w:pStyle w:val="FirstParagraph"/>
      </w:pPr>
      <w:r>
        <w:t xml:space="preserve">Understanding explains what the action is for; control explains why it is the agent's doing; efficacy explains why the intended outcome occurs. These contributions cannot replace one another. Several actions may answer the same reason, so a reason can justify a choice without uniquely necessitating it. The account accepts actual voluntary agency as an explanatory starting point, rather than inventing a prior choosing act that would repeat the question indefinitely.</w:t>
      </w:r>
    </w:p>
    <w:bookmarkEnd w:id="142"/>
    <w:bookmarkStart w:id="143" w:name="what-follows-if-they-hold-2"/>
    <w:p>
      <w:pPr>
        <w:pStyle w:val="Heading4"/>
      </w:pPr>
      <w:r>
        <w:t xml:space="preserve">What follows if they hold?</w:t>
      </w:r>
    </w:p>
    <w:p>
      <w:pPr>
        <w:pStyle w:val="FirstParagraph"/>
      </w:pPr>
      <w:r>
        <w:t xml:space="preserve">An outcome can be intelligently authored rather than merely possible or accidental. Its explanation includes reasons and the agent's actual control, even when those reasons do not necessitate that single outcome.</w:t>
      </w:r>
    </w:p>
    <w:p>
      <w:pPr>
        <w:pStyle w:val="BodyText"/>
      </w:pPr>
      <w:r>
        <w:rPr>
          <w:b/>
          <w:bCs/>
        </w:rPr>
        <w:t xml:space="preserve">What remains to defend.</w:t>
      </w:r>
      <w:r>
        <w:t xml:space="preserve"> </w:t>
      </w:r>
      <w:r>
        <w:t xml:space="preserve">This is a positive account of irreducible voluntary agency. Its application to God, and its compatibility with stronger divine simplicity, require independent defense.</w:t>
      </w:r>
    </w:p>
    <w:bookmarkEnd w:id="143"/>
    <w:bookmarkEnd w:id="144"/>
    <w:p>
      <w:pPr>
        <w:pStyle w:val="BodyText"/>
      </w:pPr>
      <w:hyperlink r:id="rId145">
        <w:r>
          <w:rPr>
            <w:rStyle w:val="Hyperlink"/>
          </w:rPr>
          <w:t xml:space="preserve">Why branching is not authorship</w:t>
        </w:r>
      </w:hyperlink>
      <w:r>
        <w:t xml:space="preserve"> </w:t>
      </w:r>
      <w:r>
        <w:t xml:space="preserve">|</w:t>
      </w:r>
      <w:r>
        <w:t xml:space="preserve"> </w:t>
      </w:r>
      <w:hyperlink r:id="rId146">
        <w:r>
          <w:rPr>
            <w:rStyle w:val="Hyperlink"/>
          </w:rPr>
          <w:t xml:space="preserve">The problem of determinate intention</w:t>
        </w:r>
      </w:hyperlink>
      <w:r>
        <w:t xml:space="preserve"> </w:t>
      </w:r>
      <w:r>
        <w:t xml:space="preserve">|</w:t>
      </w:r>
      <w:r>
        <w:t xml:space="preserve"> </w:t>
      </w:r>
      <w:hyperlink r:id="rId147">
        <w:r>
          <w:rPr>
            <w:rStyle w:val="Hyperlink"/>
          </w:rPr>
          <w:t xml:space="preserve">Divine agency and actual action</w:t>
        </w:r>
      </w:hyperlink>
    </w:p>
    <w:bookmarkEnd w:id="148"/>
    <w:p>
      <w:pPr>
        <w:pStyle w:val="BodyText"/>
      </w:pPr>
      <w:r>
        <w:t xml:space="preserve">For each answer, the expandable explanation states its premises, reasons to adopt them, positive consequences, and remaining commitments. Follow the links for the derivations, rival accounts, and source qualifications.</w:t>
      </w:r>
    </w:p>
    <w:p>
      <w:pPr>
        <w:pStyle w:val="BodyText"/>
      </w:pPr>
      <w:r>
        <w:t xml:space="preserve">11 / SOURCES</w:t>
      </w:r>
    </w:p>
    <w:bookmarkStart w:id="149" w:name="every-claim-has-an-evidence-status."/>
    <w:p>
      <w:pPr>
        <w:pStyle w:val="Heading2"/>
      </w:pPr>
      <w:r>
        <w:t xml:space="preserve">Every claim has an evidence status.</w:t>
      </w:r>
    </w:p>
    <w:p>
      <w:pPr>
        <w:pStyle w:val="FirstParagraph"/>
      </w:pPr>
      <w:r>
        <w:t xml:space="preserve">Current specialist entries and selected primary passages were inspected. Previously consulted witnesses are distinguished from critical editions and monographs still awaiting direct examination.</w:t>
      </w:r>
    </w:p>
    <w:bookmarkEnd w:id="149"/>
    <w:p>
      <w:pPr>
        <w:pStyle w:val="BodyText"/>
      </w:pPr>
      <w:r>
        <w:t xml:space="preserve">Claim-level source ledger</w:t>
      </w:r>
    </w:p>
    <w:p>
      <w:pPr>
        <w:pStyle w:val="BodyText"/>
      </w:pPr>
      <w:r>
        <w:t xml:space="preserve">Input audit: the existing Part I reports and actual source texts supplied the starting material. No separate report titled “The Minimal Bridges from Participation to Simplicity and Freedom” was supplied or presumed consulted.</w:t>
      </w:r>
    </w:p>
    <w:p>
      <w:pPr>
        <w:pStyle w:val="BodyText"/>
      </w:pPr>
      <w:r>
        <w:t xml:space="preserve">Consulted / reused primary witness</w:t>
      </w:r>
    </w:p>
    <w:bookmarkStart w:id="151" w:name="aquinas-constitutiondependence"/>
    <w:p>
      <w:pPr>
        <w:pStyle w:val="Heading3"/>
      </w:pPr>
      <w:r>
        <w:t xml:space="preserve">Aquinas: constitution–dependence</w:t>
      </w:r>
    </w:p>
    <w:p>
      <w:pPr>
        <w:pStyle w:val="FirstParagraph"/>
      </w:pPr>
      <w:r>
        <w:t xml:space="preserve">ST I q.3 a.7, answer</w:t>
      </w:r>
    </w:p>
    <w:p>
      <w:pPr>
        <w:pStyle w:val="BodyText"/>
      </w:pPr>
      <w:r>
        <w:t xml:space="preserve">English Dominican Fathers, Complete American Edition; Gutenberg #17611 mirror.</w:t>
      </w:r>
    </w:p>
    <w:p>
      <w:pPr>
        <w:pStyle w:val="BodyText"/>
      </w:pPr>
      <w:r>
        <w:rPr>
          <w:b/>
          <w:bCs/>
        </w:rPr>
        <w:t xml:space="preserve">Claim:</w:t>
      </w:r>
      <w:r>
        <w:t xml:space="preserve"> </w:t>
      </w:r>
      <w:r>
        <w:t xml:space="preserve">Every composite is posterior to and dependent on its components.</w:t>
      </w:r>
    </w:p>
    <w:p>
      <w:pPr>
        <w:pStyle w:val="BodyText"/>
      </w:pPr>
      <w:r>
        <w:rPr>
          <w:b/>
          <w:bCs/>
        </w:rPr>
        <w:t xml:space="preserve">Actually establishes:</w:t>
      </w:r>
      <w:r>
        <w:t xml:space="preserve"> </w:t>
      </w:r>
      <w:r>
        <w:t xml:space="preserve">An explicit argument within Aquinas’s broader first-being and act/potency framework.</w:t>
      </w:r>
    </w:p>
    <w:p>
      <w:pPr>
        <w:pStyle w:val="BodyText"/>
      </w:pPr>
      <w:r>
        <w:rPr>
          <w:b/>
          <w:bCs/>
        </w:rPr>
        <w:t xml:space="preserve">Constructive use:</w:t>
      </w:r>
      <w:r>
        <w:t xml:space="preserve"> </w:t>
      </w:r>
      <w:r>
        <w:t xml:space="preserve">KD is retrieved as a separately defended bridge; its universal truth is not established by attribution.</w:t>
      </w:r>
    </w:p>
    <w:p>
      <w:pPr>
        <w:pStyle w:val="BodyText"/>
      </w:pPr>
      <w:hyperlink r:id="rId150">
        <w:r>
          <w:rPr>
            <w:rStyle w:val="Hyperlink"/>
          </w:rPr>
          <w:t xml:space="preserve">Inspect evidence / qualification →</w:t>
        </w:r>
      </w:hyperlink>
    </w:p>
    <w:p>
      <w:pPr>
        <w:pStyle w:val="BodyText"/>
      </w:pPr>
      <w:r>
        <w:t xml:space="preserve">Consulted / reused primary witness</w:t>
      </w:r>
    </w:p>
    <w:bookmarkEnd w:id="151"/>
    <w:bookmarkStart w:id="152" w:name="X375cd6e2e84b18fff4bb7396aa493e995e9b801"/>
    <w:p>
      <w:pPr>
        <w:pStyle w:val="Heading3"/>
      </w:pPr>
      <w:r>
        <w:t xml:space="preserve">Aquinas: plenitude and optional communication</w:t>
      </w:r>
    </w:p>
    <w:p>
      <w:pPr>
        <w:pStyle w:val="FirstParagraph"/>
      </w:pPr>
      <w:r>
        <w:t xml:space="preserve">ST I q.19 aa.2–3, especially a.3 answer and ad5</w:t>
      </w:r>
    </w:p>
    <w:p>
      <w:pPr>
        <w:pStyle w:val="BodyText"/>
      </w:pPr>
      <w:r>
        <w:t xml:space="preserve">Same inspected primary translation.</w:t>
      </w:r>
    </w:p>
    <w:p>
      <w:pPr>
        <w:pStyle w:val="BodyText"/>
      </w:pPr>
      <w:r>
        <w:rPr>
          <w:b/>
          <w:bCs/>
        </w:rPr>
        <w:t xml:space="preserve">Claim:</w:t>
      </w:r>
      <w:r>
        <w:t xml:space="preserve"> </w:t>
      </w:r>
      <w:r>
        <w:t xml:space="preserve">Necessary orientation to divine goodness need not necessitate things ordered to it; divine will determines itself.</w:t>
      </w:r>
    </w:p>
    <w:p>
      <w:pPr>
        <w:pStyle w:val="BodyText"/>
      </w:pPr>
      <w:r>
        <w:rPr>
          <w:b/>
          <w:bCs/>
        </w:rPr>
        <w:t xml:space="preserve">Actually establishes:</w:t>
      </w:r>
      <w:r>
        <w:t xml:space="preserve"> </w:t>
      </w:r>
      <w:r>
        <w:t xml:space="preserve">A rational-volitional argument and explicit self-determination claim, stronger than non-exhaustion alone.</w:t>
      </w:r>
    </w:p>
    <w:p>
      <w:pPr>
        <w:pStyle w:val="BodyText"/>
      </w:pPr>
      <w:r>
        <w:rPr>
          <w:b/>
          <w:bCs/>
        </w:rPr>
        <w:t xml:space="preserve">Constructive use:</w:t>
      </w:r>
      <w:r>
        <w:t xml:space="preserve"> </w:t>
      </w:r>
      <w:r>
        <w:t xml:space="preserve">Candidate warrant for gift-oriented specification; voluntariness and alternatives remain independently assessed.</w:t>
      </w:r>
    </w:p>
    <w:p>
      <w:pPr>
        <w:pStyle w:val="BodyText"/>
      </w:pPr>
      <w:hyperlink r:id="rId150">
        <w:r>
          <w:rPr>
            <w:rStyle w:val="Hyperlink"/>
          </w:rPr>
          <w:t xml:space="preserve">Inspect evidence / qualification →</w:t>
        </w:r>
      </w:hyperlink>
    </w:p>
    <w:p>
      <w:pPr>
        <w:pStyle w:val="BodyText"/>
      </w:pPr>
      <w:r>
        <w:t xml:space="preserve">Consulted / reused primary witness</w:t>
      </w:r>
    </w:p>
    <w:bookmarkEnd w:id="152"/>
    <w:bookmarkStart w:id="153" w:name="aquinas-knowing-through-self-as-cause"/>
    <w:p>
      <w:pPr>
        <w:pStyle w:val="Heading3"/>
      </w:pPr>
      <w:r>
        <w:t xml:space="preserve">Aquinas: knowing through self as cause</w:t>
      </w:r>
    </w:p>
    <w:p>
      <w:pPr>
        <w:pStyle w:val="FirstParagraph"/>
      </w:pPr>
      <w:r>
        <w:t xml:space="preserve">ST I q.14 aa.5, 8; q.19 a.3 ad6</w:t>
      </w:r>
    </w:p>
    <w:p>
      <w:pPr>
        <w:pStyle w:val="BodyText"/>
      </w:pPr>
      <w:r>
        <w:t xml:space="preserve">Same inspected primary translation.</w:t>
      </w:r>
    </w:p>
    <w:p>
      <w:pPr>
        <w:pStyle w:val="BodyText"/>
      </w:pPr>
      <w:r>
        <w:rPr>
          <w:b/>
          <w:bCs/>
        </w:rPr>
        <w:t xml:space="preserve">Claim:</w:t>
      </w:r>
      <w:r>
        <w:t xml:space="preserve"> </w:t>
      </w:r>
      <w:r>
        <w:t xml:space="preserve">Knowledge is causally productive insofar as joined to will; futurity entails being known without causing divine cognition.</w:t>
      </w:r>
    </w:p>
    <w:p>
      <w:pPr>
        <w:pStyle w:val="BodyText"/>
      </w:pPr>
      <w:r>
        <w:rPr>
          <w:b/>
          <w:bCs/>
        </w:rPr>
        <w:t xml:space="preserve">Actually establishes:</w:t>
      </w:r>
      <w:r>
        <w:t xml:space="preserve"> </w:t>
      </w:r>
      <w:r>
        <w:t xml:space="preserve">Distinctions among intelligible content, actual production, and epistemic/causal direction.</w:t>
      </w:r>
    </w:p>
    <w:p>
      <w:pPr>
        <w:pStyle w:val="BodyText"/>
      </w:pPr>
      <w:r>
        <w:rPr>
          <w:b/>
          <w:bCs/>
        </w:rPr>
        <w:t xml:space="preserve">Constructive use:</w:t>
      </w:r>
      <w:r>
        <w:t xml:space="preserve"> </w:t>
      </w:r>
      <w:r>
        <w:t xml:space="preserve">Supports the proposed direction; does not alone prove awareness of one’s own contingent intentional action.</w:t>
      </w:r>
    </w:p>
    <w:p>
      <w:pPr>
        <w:pStyle w:val="BodyText"/>
      </w:pPr>
      <w:hyperlink r:id="rId150">
        <w:r>
          <w:rPr>
            <w:rStyle w:val="Hyperlink"/>
          </w:rPr>
          <w:t xml:space="preserve">Inspect evidence / qualification →</w:t>
        </w:r>
      </w:hyperlink>
    </w:p>
    <w:p>
      <w:pPr>
        <w:pStyle w:val="BodyText"/>
      </w:pPr>
      <w:r>
        <w:t xml:space="preserve">Consulted specialist source</w:t>
      </w:r>
    </w:p>
    <w:bookmarkEnd w:id="153"/>
    <w:bookmarkStart w:id="155" w:name="thomas-williams-john-duns-scotus"/>
    <w:p>
      <w:pPr>
        <w:pStyle w:val="Heading3"/>
      </w:pPr>
      <w:r>
        <w:t xml:space="preserve">Thomas Williams: John Duns Scotus</w:t>
      </w:r>
    </w:p>
    <w:p>
      <w:pPr>
        <w:pStyle w:val="FirstParagraph"/>
      </w:pPr>
      <w:r>
        <w:t xml:space="preserve">SEP §5.2; also §4.2 for intuitive cognition</w:t>
      </w:r>
    </w:p>
    <w:p>
      <w:pPr>
        <w:pStyle w:val="BodyText"/>
      </w:pPr>
      <w:r>
        <w:t xml:space="preserve">Current publisher entry, substantive revision 15 December 2025; inspected.</w:t>
      </w:r>
    </w:p>
    <w:p>
      <w:pPr>
        <w:pStyle w:val="BodyText"/>
      </w:pPr>
      <w:r>
        <w:rPr>
          <w:b/>
          <w:bCs/>
        </w:rPr>
        <w:t xml:space="preserve">Claim:</w:t>
      </w:r>
      <w:r>
        <w:t xml:space="preserve"> </w:t>
      </w:r>
      <w:r>
        <w:t xml:space="preserve">Synchronic alternatives and will-centered freedom; actual-act cognition differs from abstract capacity cognition.</w:t>
      </w:r>
    </w:p>
    <w:p>
      <w:pPr>
        <w:pStyle w:val="BodyText"/>
      </w:pPr>
      <w:r>
        <w:rPr>
          <w:b/>
          <w:bCs/>
        </w:rPr>
        <w:t xml:space="preserve">Actually establishes:</w:t>
      </w:r>
      <w:r>
        <w:t xml:space="preserve"> </w:t>
      </w:r>
      <w:r>
        <w:t xml:space="preserve">A specialist reconstruction with Dumont/MacDonald and Cross references.</w:t>
      </w:r>
    </w:p>
    <w:p>
      <w:pPr>
        <w:pStyle w:val="BodyText"/>
      </w:pPr>
      <w:r>
        <w:rPr>
          <w:b/>
          <w:bCs/>
        </w:rPr>
        <w:t xml:space="preserve">Constructive use:</w:t>
      </w:r>
      <w:r>
        <w:t xml:space="preserve"> </w:t>
      </w:r>
      <w:r>
        <w:t xml:space="preserve">Modal and epistemic resources, with its interpretation of the Aquinas contrast retained as interpretation.</w:t>
      </w:r>
    </w:p>
    <w:p>
      <w:pPr>
        <w:pStyle w:val="BodyText"/>
      </w:pPr>
      <w:hyperlink r:id="rId154">
        <w:r>
          <w:rPr>
            <w:rStyle w:val="Hyperlink"/>
          </w:rPr>
          <w:t xml:space="preserve">Inspect evidence / qualification →</w:t>
        </w:r>
      </w:hyperlink>
    </w:p>
    <w:p>
      <w:pPr>
        <w:pStyle w:val="BodyText"/>
      </w:pPr>
      <w:r>
        <w:t xml:space="preserve">Consulted specialist source</w:t>
      </w:r>
    </w:p>
    <w:bookmarkEnd w:id="155"/>
    <w:bookmarkStart w:id="157" w:name="thomas-williams-anselm-of-canterbury"/>
    <w:p>
      <w:pPr>
        <w:pStyle w:val="Heading3"/>
      </w:pPr>
      <w:r>
        <w:t xml:space="preserve">Thomas Williams: Anselm of Canterbury</w:t>
      </w:r>
    </w:p>
    <w:p>
      <w:pPr>
        <w:pStyle w:val="FirstParagraph"/>
      </w:pPr>
      <w:r>
        <w:t xml:space="preserve">SEP §§4.1–4.2; DLA 3, DV 12</w:t>
      </w:r>
    </w:p>
    <w:p>
      <w:pPr>
        <w:pStyle w:val="BodyText"/>
      </w:pPr>
      <w:r>
        <w:t xml:space="preserve">Publisher entry, substantive revision 16 July 2023; inspected.</w:t>
      </w:r>
    </w:p>
    <w:p>
      <w:pPr>
        <w:pStyle w:val="BodyText"/>
      </w:pPr>
      <w:r>
        <w:rPr>
          <w:b/>
          <w:bCs/>
        </w:rPr>
        <w:t xml:space="preserve">Claim:</w:t>
      </w:r>
      <w:r>
        <w:t xml:space="preserve"> </w:t>
      </w:r>
      <w:r>
        <w:t xml:space="preserve">Freedom is rational rectitude for its own sake; inability to sin can coexist with freedom.</w:t>
      </w:r>
    </w:p>
    <w:p>
      <w:pPr>
        <w:pStyle w:val="BodyText"/>
      </w:pPr>
      <w:r>
        <w:rPr>
          <w:b/>
          <w:bCs/>
        </w:rPr>
        <w:t xml:space="preserve">Actually establishes:</w:t>
      </w:r>
      <w:r>
        <w:t xml:space="preserve"> </w:t>
      </w:r>
      <w:r>
        <w:t xml:space="preserve">Anselm’s moral freedom account, with exact primary references.</w:t>
      </w:r>
    </w:p>
    <w:p>
      <w:pPr>
        <w:pStyle w:val="BodyText"/>
      </w:pPr>
      <w:r>
        <w:rPr>
          <w:b/>
          <w:bCs/>
        </w:rPr>
        <w:t xml:space="preserve">Constructive use:</w:t>
      </w:r>
      <w:r>
        <w:t xml:space="preserve"> </w:t>
      </w:r>
      <w:r>
        <w:t xml:space="preserve">Separates rational excellence from a lottery. Direct DLA/DV edition collation remains an additional source task.</w:t>
      </w:r>
    </w:p>
    <w:p>
      <w:pPr>
        <w:pStyle w:val="BodyText"/>
      </w:pPr>
      <w:hyperlink r:id="rId156">
        <w:r>
          <w:rPr>
            <w:rStyle w:val="Hyperlink"/>
          </w:rPr>
          <w:t xml:space="preserve">Inspect evidence / qualification →</w:t>
        </w:r>
      </w:hyperlink>
    </w:p>
    <w:p>
      <w:pPr>
        <w:pStyle w:val="BodyText"/>
      </w:pPr>
      <w:r>
        <w:t xml:space="preserve">Consulted specialist source</w:t>
      </w:r>
    </w:p>
    <w:bookmarkEnd w:id="157"/>
    <w:bookmarkStart w:id="159" w:name="william-f.-vallicella-divine-simplicity"/>
    <w:p>
      <w:pPr>
        <w:pStyle w:val="Heading3"/>
      </w:pPr>
      <w:r>
        <w:t xml:space="preserve">William F. Vallicella: Divine Simplicity</w:t>
      </w:r>
    </w:p>
    <w:p>
      <w:pPr>
        <w:pStyle w:val="FirstParagraph"/>
      </w:pPr>
      <w:r>
        <w:t xml:space="preserve">SEP §§6–7; truthmaker models and modal collapse</w:t>
      </w:r>
    </w:p>
    <w:p>
      <w:pPr>
        <w:pStyle w:val="BodyText"/>
      </w:pPr>
      <w:r>
        <w:t xml:space="preserve">Current publisher text, copyright 2023; selected sections inspected.</w:t>
      </w:r>
    </w:p>
    <w:p>
      <w:pPr>
        <w:pStyle w:val="BodyText"/>
      </w:pPr>
      <w:r>
        <w:rPr>
          <w:b/>
          <w:bCs/>
        </w:rPr>
        <w:t xml:space="preserve">Claim:</w:t>
      </w:r>
      <w:r>
        <w:t xml:space="preserve"> </w:t>
      </w:r>
      <w:r>
        <w:t xml:space="preserve">Contingent knowledge and necessary divine act create distinct tensions; externalist alternatives are debated.</w:t>
      </w:r>
    </w:p>
    <w:p>
      <w:pPr>
        <w:pStyle w:val="BodyText"/>
      </w:pPr>
      <w:r>
        <w:rPr>
          <w:b/>
          <w:bCs/>
        </w:rPr>
        <w:t xml:space="preserve">Actually establishes:</w:t>
      </w:r>
      <w:r>
        <w:t xml:space="preserve"> </w:t>
      </w:r>
      <w:r>
        <w:t xml:space="preserve">A substantive adversarial survey, including Brower/Grant disagreements.</w:t>
      </w:r>
    </w:p>
    <w:p>
      <w:pPr>
        <w:pStyle w:val="BodyText"/>
      </w:pPr>
      <w:r>
        <w:rPr>
          <w:b/>
          <w:bCs/>
        </w:rPr>
        <w:t xml:space="preserve">Constructive use:</w:t>
      </w:r>
      <w:r>
        <w:t xml:space="preserve"> </w:t>
      </w:r>
      <w:r>
        <w:t xml:space="preserve">The new exercise model is tested against these objections; no assertion that every critic or defender is refuted.</w:t>
      </w:r>
    </w:p>
    <w:p>
      <w:pPr>
        <w:pStyle w:val="BodyText"/>
      </w:pPr>
      <w:hyperlink r:id="rId158">
        <w:r>
          <w:rPr>
            <w:rStyle w:val="Hyperlink"/>
          </w:rPr>
          <w:t xml:space="preserve">Inspect evidence / qualification →</w:t>
        </w:r>
      </w:hyperlink>
    </w:p>
    <w:p>
      <w:pPr>
        <w:pStyle w:val="BodyText"/>
      </w:pPr>
      <w:r>
        <w:t xml:space="preserve">Consulted specialist source</w:t>
      </w:r>
    </w:p>
    <w:bookmarkEnd w:id="159"/>
    <w:bookmarkStart w:id="161" w:name="edward-wierenga-omniscience"/>
    <w:p>
      <w:pPr>
        <w:pStyle w:val="Heading3"/>
      </w:pPr>
      <w:r>
        <w:t xml:space="preserve">Edward Wierenga: Omniscience</w:t>
      </w:r>
    </w:p>
    <w:p>
      <w:pPr>
        <w:pStyle w:val="FirstParagraph"/>
      </w:pPr>
      <w:r>
        <w:t xml:space="preserve">SEP §§1–3</w:t>
      </w:r>
    </w:p>
    <w:p>
      <w:pPr>
        <w:pStyle w:val="BodyText"/>
      </w:pPr>
      <w:r>
        <w:t xml:space="preserve">Publisher entry, substantive revision 10 May 2025; selected discussions inspected.</w:t>
      </w:r>
    </w:p>
    <w:p>
      <w:pPr>
        <w:pStyle w:val="BodyText"/>
      </w:pPr>
      <w:r>
        <w:rPr>
          <w:b/>
          <w:bCs/>
        </w:rPr>
        <w:t xml:space="preserve">Claim:</w:t>
      </w:r>
      <w:r>
        <w:t xml:space="preserve"> </w:t>
      </w:r>
      <w:r>
        <w:t xml:space="preserve">Complete knowledge, non-discursivity, and foreknowledge/free-action are separable questions.</w:t>
      </w:r>
    </w:p>
    <w:p>
      <w:pPr>
        <w:pStyle w:val="BodyText"/>
      </w:pPr>
      <w:r>
        <w:rPr>
          <w:b/>
          <w:bCs/>
        </w:rPr>
        <w:t xml:space="preserve">Actually establishes:</w:t>
      </w:r>
      <w:r>
        <w:t xml:space="preserve"> </w:t>
      </w:r>
      <w:r>
        <w:t xml:space="preserve">Definitions and competing accounts of cognitive adequacy.</w:t>
      </w:r>
    </w:p>
    <w:p>
      <w:pPr>
        <w:pStyle w:val="BodyText"/>
      </w:pPr>
      <w:r>
        <w:rPr>
          <w:b/>
          <w:bCs/>
        </w:rPr>
        <w:t xml:space="preserve">Constructive use:</w:t>
      </w:r>
      <w:r>
        <w:t xml:space="preserve"> </w:t>
      </w:r>
      <w:r>
        <w:t xml:space="preserve">Prevents the scoped productive-knowledge proposal from being mislabeled demonstrated omniscience.</w:t>
      </w:r>
    </w:p>
    <w:p>
      <w:pPr>
        <w:pStyle w:val="BodyText"/>
      </w:pPr>
      <w:hyperlink r:id="rId160">
        <w:r>
          <w:rPr>
            <w:rStyle w:val="Hyperlink"/>
          </w:rPr>
          <w:t xml:space="preserve">Inspect evidence / qualification →</w:t>
        </w:r>
      </w:hyperlink>
    </w:p>
    <w:p>
      <w:pPr>
        <w:pStyle w:val="BodyText"/>
      </w:pPr>
      <w:r>
        <w:t xml:space="preserve">Consulted / reused primary witness</w:t>
      </w:r>
    </w:p>
    <w:bookmarkEnd w:id="161"/>
    <w:bookmarkStart w:id="163" w:name="augustine-city-of-god"/>
    <w:p>
      <w:pPr>
        <w:pStyle w:val="Heading3"/>
      </w:pPr>
      <w:r>
        <w:t xml:space="preserve">Augustine: City of God</w:t>
      </w:r>
    </w:p>
    <w:p>
      <w:pPr>
        <w:pStyle w:val="FirstParagraph"/>
      </w:pPr>
      <w:r>
        <w:t xml:space="preserve">XI.10 and XI.21</w:t>
      </w:r>
    </w:p>
    <w:p>
      <w:pPr>
        <w:pStyle w:val="BodyText"/>
      </w:pPr>
      <w:r>
        <w:t xml:space="preserve">Marcus Dods translation; consulted project primary witness, XI.21 rechecked for this inquiry.</w:t>
      </w:r>
    </w:p>
    <w:p>
      <w:pPr>
        <w:pStyle w:val="BodyText"/>
      </w:pPr>
      <w:r>
        <w:rPr>
          <w:b/>
          <w:bCs/>
        </w:rPr>
        <w:t xml:space="preserve">Claim:</w:t>
      </w:r>
      <w:r>
        <w:t xml:space="preserve"> </w:t>
      </w:r>
      <w:r>
        <w:t xml:space="preserve">Divine wisdom is not acquired; created actuality does not add cognition to immutable knowledge.</w:t>
      </w:r>
    </w:p>
    <w:p>
      <w:pPr>
        <w:pStyle w:val="BodyText"/>
      </w:pPr>
      <w:r>
        <w:rPr>
          <w:b/>
          <w:bCs/>
        </w:rPr>
        <w:t xml:space="preserve">Actually establishes:</w:t>
      </w:r>
      <w:r>
        <w:t xml:space="preserve"> </w:t>
      </w:r>
      <w:r>
        <w:t xml:space="preserve">An explicit non-reception witness in Augustine’s theology.</w:t>
      </w:r>
    </w:p>
    <w:p>
      <w:pPr>
        <w:pStyle w:val="BodyText"/>
      </w:pPr>
      <w:r>
        <w:rPr>
          <w:b/>
          <w:bCs/>
        </w:rPr>
        <w:t xml:space="preserve">Constructive use:</w:t>
      </w:r>
      <w:r>
        <w:t xml:space="preserve"> </w:t>
      </w:r>
      <w:r>
        <w:t xml:space="preserve">Does not itself derive knowledge of the actual action from the minimal source profile.</w:t>
      </w:r>
    </w:p>
    <w:p>
      <w:pPr>
        <w:pStyle w:val="BodyText"/>
      </w:pPr>
      <w:hyperlink r:id="rId162">
        <w:r>
          <w:rPr>
            <w:rStyle w:val="Hyperlink"/>
          </w:rPr>
          <w:t xml:space="preserve">Inspect evidence / qualification →</w:t>
        </w:r>
      </w:hyperlink>
    </w:p>
    <w:p>
      <w:pPr>
        <w:pStyle w:val="BodyText"/>
      </w:pPr>
      <w:r>
        <w:t xml:space="preserve">Consulted / reused primary witness</w:t>
      </w:r>
    </w:p>
    <w:bookmarkEnd w:id="163"/>
    <w:bookmarkStart w:id="165" w:name="X32c73d739c177e8891a314326e92b7c1c2b6c66"/>
    <w:p>
      <w:pPr>
        <w:pStyle w:val="Heading3"/>
      </w:pPr>
      <w:r>
        <w:t xml:space="preserve">Dionysius / Maximus: digital Greek witnesses</w:t>
      </w:r>
    </w:p>
    <w:p>
      <w:pPr>
        <w:pStyle w:val="FirstParagraph"/>
      </w:pPr>
      <w:r>
        <w:t xml:space="preserve">DN II.5, V.8; Ambiguum 7, PG 91 1077–1081</w:t>
      </w:r>
    </w:p>
    <w:p>
      <w:pPr>
        <w:pStyle w:val="BodyText"/>
      </w:pPr>
      <w:r>
        <w:t xml:space="preserve">Earlier project consultation: academic unproofread PG OCR and provisional Ambigua transcription.</w:t>
      </w:r>
    </w:p>
    <w:p>
      <w:pPr>
        <w:pStyle w:val="BodyText"/>
      </w:pPr>
      <w:r>
        <w:rPr>
          <w:b/>
          <w:bCs/>
        </w:rPr>
        <w:t xml:space="preserve">Claim:</w:t>
      </w:r>
      <w:r>
        <w:t xml:space="preserve"> </w:t>
      </w:r>
      <w:r>
        <w:t xml:space="preserve">Nonpartition; unified logoi; known principles differ from created actualization.</w:t>
      </w:r>
    </w:p>
    <w:p>
      <w:pPr>
        <w:pStyle w:val="BodyText"/>
      </w:pPr>
      <w:r>
        <w:rPr>
          <w:b/>
          <w:bCs/>
        </w:rPr>
        <w:t xml:space="preserve">Actually establishes:</w:t>
      </w:r>
      <w:r>
        <w:t xml:space="preserve"> </w:t>
      </w:r>
      <w:r>
        <w:t xml:space="preserve">Bounded textual support with edition/provenance qualifications.</w:t>
      </w:r>
    </w:p>
    <w:p>
      <w:pPr>
        <w:pStyle w:val="BodyText"/>
      </w:pPr>
      <w:r>
        <w:rPr>
          <w:b/>
          <w:bCs/>
        </w:rPr>
        <w:t xml:space="preserve">Constructive use:</w:t>
      </w:r>
      <w:r>
        <w:t xml:space="preserve"> </w:t>
      </w:r>
      <w:r>
        <w:t xml:space="preserve">Constructive retrieval, not attribution of the proposed account of agency or new modal semantics.</w:t>
      </w:r>
    </w:p>
    <w:p>
      <w:pPr>
        <w:pStyle w:val="BodyText"/>
      </w:pPr>
      <w:hyperlink r:id="rId164">
        <w:r>
          <w:rPr>
            <w:rStyle w:val="Hyperlink"/>
          </w:rPr>
          <w:t xml:space="preserve">Inspect evidence / qualification →</w:t>
        </w:r>
      </w:hyperlink>
    </w:p>
    <w:p>
      <w:pPr>
        <w:pStyle w:val="BodyText"/>
      </w:pPr>
      <w:r>
        <w:t xml:space="preserve">Consulted / reused primary witness</w:t>
      </w:r>
    </w:p>
    <w:bookmarkEnd w:id="165"/>
    <w:bookmarkStart w:id="167" w:name="newman-essay-on-development"/>
    <w:p>
      <w:pPr>
        <w:pStyle w:val="Heading3"/>
      </w:pPr>
      <w:r>
        <w:t xml:space="preserve">Newman: Essay on Development</w:t>
      </w:r>
    </w:p>
    <w:p>
      <w:pPr>
        <w:pStyle w:val="FirstParagraph"/>
      </w:pPr>
      <w:r>
        <w:t xml:space="preserve">Chapter V, opening §4 and §§I–VII</w:t>
      </w:r>
    </w:p>
    <w:p>
      <w:pPr>
        <w:pStyle w:val="BodyText"/>
      </w:pPr>
      <w:r>
        <w:t xml:space="preserve">Gutenberg #35110 mirror; chapter V inspected in the project.</w:t>
      </w:r>
    </w:p>
    <w:p>
      <w:pPr>
        <w:pStyle w:val="BodyText"/>
      </w:pPr>
      <w:r>
        <w:rPr>
          <w:b/>
          <w:bCs/>
        </w:rPr>
        <w:t xml:space="preserve">Claim:</w:t>
      </w:r>
      <w:r>
        <w:t xml:space="preserve"> </w:t>
      </w:r>
      <w:r>
        <w:t xml:space="preserve">Seven notes of genuine development have differing cogency and applicability.</w:t>
      </w:r>
    </w:p>
    <w:p>
      <w:pPr>
        <w:pStyle w:val="BodyText"/>
      </w:pPr>
      <w:r>
        <w:rPr>
          <w:b/>
          <w:bCs/>
        </w:rPr>
        <w:t xml:space="preserve">Actually establishes:</w:t>
      </w:r>
      <w:r>
        <w:t xml:space="preserve"> </w:t>
      </w:r>
      <w:r>
        <w:t xml:space="preserve">An actual methodological source; seventh note is chronic vigour.</w:t>
      </w:r>
    </w:p>
    <w:p>
      <w:pPr>
        <w:pStyle w:val="BodyText"/>
      </w:pPr>
      <w:r>
        <w:rPr>
          <w:b/>
          <w:bCs/>
        </w:rPr>
        <w:t xml:space="preserve">Constructive use:</w:t>
      </w:r>
      <w:r>
        <w:t xml:space="preserve"> </w:t>
      </w:r>
      <w:r>
        <w:t xml:space="preserve">Analogical continuity assessment, not ecclesial recognition of this model.</w:t>
      </w:r>
    </w:p>
    <w:p>
      <w:pPr>
        <w:pStyle w:val="BodyText"/>
      </w:pPr>
      <w:hyperlink r:id="rId166">
        <w:r>
          <w:rPr>
            <w:rStyle w:val="Hyperlink"/>
          </w:rPr>
          <w:t xml:space="preserve">Inspect evidence / qualification →</w:t>
        </w:r>
      </w:hyperlink>
    </w:p>
    <w:p>
      <w:pPr>
        <w:pStyle w:val="BodyText"/>
      </w:pPr>
      <w:r>
        <w:t xml:space="preserve">Unconsulted lead</w:t>
      </w:r>
    </w:p>
    <w:bookmarkEnd w:id="167"/>
    <w:bookmarkStart w:id="168" w:name="Xbe23e7640d418fc3047e301c4527531d5f630e1"/>
    <w:p>
      <w:pPr>
        <w:pStyle w:val="Heading3"/>
      </w:pPr>
      <w:r>
        <w:t xml:space="preserve">Critical primary texts and specialist monographs</w:t>
      </w:r>
    </w:p>
    <w:p>
      <w:pPr>
        <w:pStyle w:val="FirstParagraph"/>
      </w:pPr>
      <w:r>
        <w:t xml:space="preserve">Scotus Lectura I d.39; Anselm DLA/DV; Constas Ambigua; Grant 2012; Brower 2009; Przywara Analogia Entis</w:t>
      </w:r>
    </w:p>
    <w:p>
      <w:pPr>
        <w:pStyle w:val="BodyText"/>
      </w:pPr>
      <w:r>
        <w:t xml:space="preserve">Precise leads and bibliographic limits in the detailed dossiers.</w:t>
      </w:r>
    </w:p>
    <w:p>
      <w:pPr>
        <w:pStyle w:val="BodyText"/>
      </w:pPr>
      <w:r>
        <w:rPr>
          <w:b/>
          <w:bCs/>
        </w:rPr>
        <w:t xml:space="preserve">Claim:</w:t>
      </w:r>
      <w:r>
        <w:t xml:space="preserve"> </w:t>
      </w:r>
      <w:r>
        <w:t xml:space="preserve">Potential defenses or criticisms needing fuller textual inspection.</w:t>
      </w:r>
    </w:p>
    <w:p>
      <w:pPr>
        <w:pStyle w:val="BodyText"/>
      </w:pPr>
      <w:r>
        <w:rPr>
          <w:b/>
          <w:bCs/>
        </w:rPr>
        <w:t xml:space="preserve">Actually establishes:</w:t>
      </w:r>
      <w:r>
        <w:t xml:space="preserve"> </w:t>
      </w:r>
      <w:r>
        <w:t xml:space="preserve">No new primary or monograph consultation is claimed here.</w:t>
      </w:r>
    </w:p>
    <w:p>
      <w:pPr>
        <w:pStyle w:val="BodyText"/>
      </w:pPr>
      <w:r>
        <w:rPr>
          <w:b/>
          <w:bCs/>
        </w:rPr>
        <w:t xml:space="preserve">Constructive use:</w:t>
      </w:r>
      <w:r>
        <w:t xml:space="preserve"> </w:t>
      </w:r>
      <w:r>
        <w:t xml:space="preserve">These sources are not silently counted as evidence already read.</w:t>
      </w:r>
    </w:p>
    <w:p>
      <w:pPr>
        <w:pStyle w:val="BodyText"/>
      </w:pPr>
      <w:hyperlink r:id="rId121">
        <w:r>
          <w:rPr>
            <w:rStyle w:val="Hyperlink"/>
          </w:rPr>
          <w:t xml:space="preserve">Inspect evidence / qualification →</w:t>
        </w:r>
      </w:hyperlink>
    </w:p>
    <w:bookmarkEnd w:id="168"/>
    <w:p>
      <w:pPr>
        <w:pStyle w:val="BodyText"/>
      </w:pPr>
      <w:r>
        <w:t xml:space="preserve">12 / VERDICT</w:t>
      </w:r>
    </w:p>
    <w:bookmarkStart w:id="169" w:name="determinate-fullness.-gratuitous-action."/>
    <w:p>
      <w:pPr>
        <w:pStyle w:val="Heading2"/>
      </w:pPr>
      <w:r>
        <w:t xml:space="preserve">Determinate fullness. Gratuitous action.</w:t>
      </w:r>
    </w:p>
    <w:p>
      <w:pPr>
        <w:pStyle w:val="FirstParagraph"/>
      </w:pPr>
      <w:r>
        <w:t xml:space="preserve">The constructive achievement is an explicit account of what simple, intelligent, free communication would require, with distinct warrants for its decisive passages.</w:t>
      </w:r>
    </w:p>
    <w:bookmarkEnd w:id="169"/>
    <w:p>
      <w:pPr>
        <w:pStyle w:val="BodyText"/>
      </w:pPr>
      <w:r>
        <w:t xml:space="preserve">Scoped verdict</w:t>
      </w:r>
    </w:p>
    <w:p>
      <w:pPr>
        <w:pStyle w:val="BodyText"/>
      </w:pPr>
      <w:r>
        <w:t xml:space="preserve">KD + U give noncomposition. The sixfold audit extends the classical inquiry to received actuality, unity, determination, existence, and essential perfection when the relevant dependence is independently defended. Perfection without reception adds the positive result: a warranted perfection belongs without a more basic intrinsic principle completing the source. It neither proves every perfection nor earns a seventh independent route.</w:t>
      </w:r>
    </w:p>
    <w:p>
      <w:pPr>
        <w:pStyle w:val="BodyText"/>
      </w:pPr>
      <w:r>
        <w:t xml:space="preserve">The gift model explains why communication can be good for a recipient without repairing the giver. Live alternatives establish modal openness; reasons render giving intelligible; actual control makes the gift the agent’s; efficacy makes its intended effect real. These are four contributions, not four descriptions of one unexplained output.</w:t>
      </w:r>
    </w:p>
    <w:p>
      <w:pPr>
        <w:pStyle w:val="BodyText"/>
      </w:pPr>
      <w:r>
        <w:t xml:space="preserve">The relational proposal asks whether different complete intentional actions can originate with the same intrinsic divine actuality. Its strongest surviving rival places the difference in noncomposite intrinsic intentions across possible worlds. X excludes that rival only if its own stronger account is defended; the absence of parts or temporal change does not decide the dispute.</w:t>
      </w:r>
    </w:p>
    <w:p>
      <w:pPr>
        <w:pStyle w:val="BodyText"/>
      </w:pPr>
      <w:r>
        <w:t xml:space="preserve">Productive knowledge then explains an adequately disclosed effect through warranted awareness of the actual intelligent action that produces it. Knowledge of possibilities and bare causal power would be insufficient. Secondary free acts and comprehensive omniscience require further cognitive arguments, even where Catholic theology independently receives the doctrinal claims.</w:t>
      </w:r>
    </w:p>
    <w:p>
      <w:pPr>
        <w:pStyle w:val="BodyText"/>
      </w:pPr>
      <w:r>
        <w:t xml:space="preserve">Explanation finally stops, in this proposal, at actual voluntary action and its warranted self-awareness. The action supplies authorship rather than a prior necessitating selector. That is the indispensable bridge to defend. The philosophical gain is a clear test: does it explain intelligent direction and successful production without requiring creation to constitute, inform, or complete God?</w:t>
      </w:r>
    </w:p>
    <w:p>
      <w:pPr>
        <w:pStyle w:val="BodyText"/>
      </w:pPr>
      <w:r>
        <w:t xml:space="preserve">The positive proposal requires actual voluntary direction and warranted awareness of the action. Together they explain authorship and productive knowledge; their compatibility with intrinsic invariance remains the decisive disputed bridge.</w:t>
      </w:r>
    </w:p>
    <w:p>
      <w:pPr>
        <w:pStyle w:val="BodyText"/>
      </w:pPr>
      <w:hyperlink r:id="rId22">
        <w:r>
          <w:rPr>
            <w:rStyle w:val="Hyperlink"/>
          </w:rPr>
          <w:t xml:space="preserve">Shared reading guide →</w:t>
        </w:r>
      </w:hyperlink>
      <w:hyperlink r:id="rId119">
        <w:r>
          <w:rPr>
            <w:rStyle w:val="Hyperlink"/>
          </w:rPr>
          <w:t xml:space="preserve">Complete Part II report →</w:t>
        </w:r>
      </w:hyperlink>
      <w:hyperlink r:id="rId120">
        <w:r>
          <w:rPr>
            <w:rStyle w:val="Hyperlink"/>
          </w:rPr>
          <w:t xml:space="preserve">Formal audit &amp; models →</w:t>
        </w:r>
      </w:hyperlink>
      <w:hyperlink r:id="rId121">
        <w:r>
          <w:rPr>
            <w:rStyle w:val="Hyperlink"/>
          </w:rPr>
          <w:t xml:space="preserve">Primary/source dossier →</w:t>
        </w:r>
      </w:hyperlink>
      <w:hyperlink r:id="rId122">
        <w:r>
          <w:rPr>
            <w:rStyle w:val="Hyperlink"/>
          </w:rPr>
          <w:t xml:space="preserve">Development assessment →</w:t>
        </w:r>
      </w:hyperlink>
    </w:p>
    <w:bookmarkStart w:id="179" w:name="follow-this-thread-across-both-projects"/>
    <w:p>
      <w:pPr>
        <w:pStyle w:val="Heading3"/>
      </w:pPr>
      <w:r>
        <w:t xml:space="preserve">Follow this thread</w:t>
      </w:r>
      <w:r>
        <w:t xml:space="preserve"> </w:t>
      </w:r>
      <w:r>
        <w:t xml:space="preserve">Across both projects</w:t>
      </w:r>
    </w:p>
    <w:p>
      <w:pPr>
        <w:pStyle w:val="FirstParagraph"/>
      </w:pPr>
      <w:r>
        <w:t xml:space="preserve">Continue the question through its foundations, related studies, and working definitions. Each argument retains its own premises and warrant.</w:t>
      </w:r>
    </w:p>
    <w:bookmarkStart w:id="172" w:name="within-this-inquiry"/>
    <w:p>
      <w:pPr>
        <w:pStyle w:val="Heading3"/>
      </w:pPr>
      <w:r>
        <w:t xml:space="preserve">Within this inquiry</w:t>
      </w:r>
    </w:p>
    <w:p>
      <w:pPr>
        <w:pStyle w:val="Compact"/>
        <w:numPr>
          <w:ilvl w:val="0"/>
          <w:numId w:val="1001"/>
        </w:numPr>
      </w:pPr>
      <w:hyperlink r:id="rId170">
        <w:r>
          <w:rPr>
            <w:rStyle w:val="Hyperlink"/>
          </w:rPr>
          <w:t xml:space="preserve">Divine Agency</w:t>
        </w:r>
      </w:hyperlink>
    </w:p>
    <w:p>
      <w:pPr>
        <w:pStyle w:val="Compact"/>
        <w:numPr>
          <w:ilvl w:val="0"/>
          <w:numId w:val="1001"/>
        </w:numPr>
      </w:pPr>
      <w:hyperlink r:id="rId171">
        <w:r>
          <w:rPr>
            <w:rStyle w:val="Hyperlink"/>
          </w:rPr>
          <w:t xml:space="preserve">Participation</w:t>
        </w:r>
      </w:hyperlink>
    </w:p>
    <w:bookmarkEnd w:id="172"/>
    <w:bookmarkStart w:id="175" w:name="across-the-two-sites"/>
    <w:p>
      <w:pPr>
        <w:pStyle w:val="Heading3"/>
      </w:pPr>
      <w:r>
        <w:t xml:space="preserve">Across the two sites</w:t>
      </w:r>
    </w:p>
    <w:p>
      <w:pPr>
        <w:pStyle w:val="Compact"/>
        <w:numPr>
          <w:ilvl w:val="0"/>
          <w:numId w:val="1002"/>
        </w:numPr>
      </w:pPr>
      <w:hyperlink r:id="rId173">
        <w:r>
          <w:rPr>
            <w:rStyle w:val="Hyperlink"/>
          </w:rPr>
          <w:t xml:space="preserve">One universal source</w:t>
        </w:r>
      </w:hyperlink>
    </w:p>
    <w:p>
      <w:pPr>
        <w:pStyle w:val="Compact"/>
        <w:numPr>
          <w:ilvl w:val="0"/>
          <w:numId w:val="1002"/>
        </w:numPr>
      </w:pPr>
      <w:hyperlink r:id="rId174">
        <w:r>
          <w:rPr>
            <w:rStyle w:val="Hyperlink"/>
          </w:rPr>
          <w:t xml:space="preserve">The six accomplishments of simplicity</w:t>
        </w:r>
      </w:hyperlink>
    </w:p>
    <w:bookmarkEnd w:id="175"/>
    <w:bookmarkStart w:id="178" w:name="essays-and-studies"/>
    <w:p>
      <w:pPr>
        <w:pStyle w:val="Heading3"/>
      </w:pPr>
      <w:r>
        <w:t xml:space="preserve">Essays and studies</w:t>
      </w:r>
    </w:p>
    <w:p>
      <w:pPr>
        <w:pStyle w:val="Compact"/>
        <w:numPr>
          <w:ilvl w:val="0"/>
          <w:numId w:val="1003"/>
        </w:numPr>
      </w:pPr>
      <w:hyperlink r:id="rId176">
        <w:r>
          <w:rPr>
            <w:rStyle w:val="Hyperlink"/>
          </w:rPr>
          <w:t xml:space="preserve">Why distinctions matter</w:t>
        </w:r>
      </w:hyperlink>
    </w:p>
    <w:p>
      <w:pPr>
        <w:pStyle w:val="Compact"/>
        <w:numPr>
          <w:ilvl w:val="0"/>
          <w:numId w:val="1003"/>
        </w:numPr>
      </w:pPr>
      <w:hyperlink r:id="rId177">
        <w:r>
          <w:rPr>
            <w:rStyle w:val="Hyperlink"/>
          </w:rPr>
          <w:t xml:space="preserve">What participation means</w:t>
        </w:r>
      </w:hyperlink>
    </w:p>
    <w:bookmarkEnd w:id="178"/>
    <w:p>
      <w:pPr>
        <w:pStyle w:val="FirstParagraph"/>
      </w:pPr>
      <w:r>
        <w:rPr>
          <w:b/>
          <w:bCs/>
        </w:rPr>
        <w:t xml:space="preserve">Clarify a term:</w:t>
      </w:r>
      <w:r>
        <w:t xml:space="preserve"> </w:t>
      </w:r>
      <w:hyperlink r:id="rId23">
        <w:r>
          <w:rPr>
            <w:rStyle w:val="Hyperlink"/>
          </w:rPr>
          <w:t xml:space="preserve">Actuality</w:t>
        </w:r>
      </w:hyperlink>
      <w:r>
        <w:t xml:space="preserve"> </w:t>
      </w:r>
      <w:r>
        <w:t xml:space="preserve">·</w:t>
      </w:r>
      <w:r>
        <w:t xml:space="preserve"> </w:t>
      </w:r>
      <w:hyperlink r:id="rId24">
        <w:r>
          <w:rPr>
            <w:rStyle w:val="Hyperlink"/>
          </w:rPr>
          <w:t xml:space="preserve">Determination</w:t>
        </w:r>
      </w:hyperlink>
      <w:r>
        <w:t xml:space="preserve"> </w:t>
      </w:r>
      <w:r>
        <w:t xml:space="preserve">·</w:t>
      </w:r>
      <w:r>
        <w:t xml:space="preserve"> </w:t>
      </w:r>
      <w:hyperlink r:id="rId25">
        <w:r>
          <w:rPr>
            <w:rStyle w:val="Hyperlink"/>
          </w:rPr>
          <w:t xml:space="preserve">Realization</w:t>
        </w:r>
      </w:hyperlink>
      <w:r>
        <w:t xml:space="preserve"> </w:t>
      </w:r>
      <w:r>
        <w:t xml:space="preserve">·</w:t>
      </w:r>
      <w:r>
        <w:t xml:space="preserve"> </w:t>
      </w:r>
      <w:hyperlink r:id="rId26">
        <w:r>
          <w:rPr>
            <w:rStyle w:val="Hyperlink"/>
          </w:rPr>
          <w:t xml:space="preserve">Constitution</w:t>
        </w:r>
      </w:hyperlink>
    </w:p>
    <w:bookmarkEnd w:id="179"/>
    <w:p>
      <w:pPr>
        <w:pStyle w:val="Heading1"/>
      </w:pPr>
      <w:r>
        <w:t xml:space="preserve">Interactive material — complete static record</w:t>
      </w:r>
    </w:p>
    <w:bookmarkStart w:id="187" w:name="part-ii-interactive-content-backup"/>
    <w:p>
      <w:pPr>
        <w:pStyle w:val="Heading2"/>
      </w:pPr>
      <w:r>
        <w:t xml:space="preserve">Part II — Interactive content backup</w:t>
      </w:r>
    </w:p>
    <w:p>
      <w:pPr>
        <w:pStyle w:val="FirstParagraph"/>
      </w:pPr>
      <w:r>
        <w:t xml:space="preserve">This appendix preserves every bridge and documented path behind the dependency explorer, together with all three modal scenarios. The page snapshot includes the chapter prose, expanded inheritance/simplicity tables, rival interpretations, historical cards, and complete source ledger. Selecting a commitment stipulates it for the displayed argument; it does not establish independent warrant.</w:t>
      </w:r>
    </w:p>
    <w:bookmarkStart w:id="180" w:name="all-eleven-commitments"/>
    <w:p>
      <w:pPr>
        <w:pStyle w:val="Heading3"/>
      </w:pPr>
      <w:r>
        <w:t xml:space="preserve">All eleven commitments</w:t>
      </w:r>
    </w:p>
    <w:tbl>
      <w:tblPr>
        <w:tblStyle w:val="TableGrid"/>
        <w:tblW w:type="dxa" w:w="9936"/>
        <w:jc w:val="left"/>
        <w:tblLayout w:type="fixed"/>
        <w:tblLook w:firstRow="1" w:lastRow="0" w:firstColumn="0" w:lastColumn="0" w:noHBand="0" w:noVBand="0" w:val="0020"/>
      </w:tblPr>
      <w:tblGrid>
        <w:gridCol w:w="1689"/>
        <w:gridCol w:w="1649"/>
        <w:gridCol w:w="1649"/>
        <w:gridCol w:w="1649"/>
        <w:gridCol w:w="1649"/>
        <w:gridCol w:w="16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Label/name</w:t>
            </w:r>
          </w:p>
        </w:tc>
        <w:tc>
          <w:tcPr>
            <w:tcW w:type="dxa" w:w="1649"/>
            <w:shd w:fill="EAE5DA"/>
          </w:tcPr>
          <w:p>
            <w:pPr>
              <w:pStyle w:val="BodyText"/>
              <w:keepNext w:val="0"/>
              <w:spacing w:after="80" w:line="252" w:lineRule="auto"/>
              <w:jc w:val="left"/>
            </w:pPr>
            <w:r>
              <w:rPr>
                <w:rFonts w:ascii="Calibri" w:hAnsi="Calibri"/>
                <w:b/>
                <w:sz w:val="17"/>
              </w:rPr>
              <w:t xml:space="preserve">Status</w:t>
            </w:r>
          </w:p>
        </w:tc>
        <w:tc>
          <w:tcPr>
            <w:tcW w:type="dxa" w:w="1649"/>
            <w:shd w:fill="EAE5DA"/>
          </w:tcPr>
          <w:p>
            <w:pPr>
              <w:pStyle w:val="BodyText"/>
              <w:keepNext w:val="0"/>
              <w:spacing w:after="80" w:line="252" w:lineRule="auto"/>
              <w:jc w:val="left"/>
            </w:pPr>
            <w:r>
              <w:rPr>
                <w:rFonts w:ascii="Calibri" w:hAnsi="Calibri"/>
                <w:b/>
                <w:sz w:val="17"/>
              </w:rPr>
              <w:t xml:space="preserve">Description</w:t>
            </w:r>
          </w:p>
        </w:tc>
        <w:tc>
          <w:tcPr>
            <w:tcW w:type="dxa" w:w="1649"/>
            <w:shd w:fill="EAE5DA"/>
          </w:tcPr>
          <w:p>
            <w:pPr>
              <w:pStyle w:val="BodyText"/>
              <w:keepNext w:val="0"/>
              <w:spacing w:after="80" w:line="252" w:lineRule="auto"/>
              <w:jc w:val="left"/>
            </w:pPr>
            <w:r>
              <w:rPr>
                <w:rFonts w:ascii="Calibri" w:hAnsi="Calibri"/>
                <w:b/>
                <w:sz w:val="17"/>
              </w:rPr>
              <w:t xml:space="preserve">Default selection</w:t>
            </w:r>
          </w:p>
        </w:tc>
        <w:tc>
          <w:tcPr>
            <w:tcW w:type="dxa" w:w="1649"/>
            <w:shd w:fill="EAE5DA"/>
          </w:tcPr>
          <w:p>
            <w:pPr>
              <w:pStyle w:val="BodyText"/>
              <w:keepNext w:val="0"/>
              <w:spacing w:after="80" w:line="252" w:lineRule="auto"/>
              <w:jc w:val="left"/>
            </w:pPr>
            <w:r>
              <w:rPr>
                <w:rFonts w:ascii="Calibri" w:hAnsi="Calibri"/>
                <w:b/>
                <w:sz w:val="17"/>
              </w:rPr>
              <w:t xml:space="preserve">Deletion example</w:t>
            </w:r>
          </w:p>
        </w:tc>
        <w:tc>
          <w:tcPr>
            <w:tcW w:type="dxa" w:w="1649"/>
            <w:shd w:fill="EAE5DA"/>
          </w:tcPr>
          <w:p>
            <w:pPr>
              <w:pStyle w:val="BodyText"/>
              <w:keepNext w:val="0"/>
              <w:spacing w:after="80" w:line="252" w:lineRule="auto"/>
              <w:jc w:val="left"/>
            </w:pPr>
            <w:r>
              <w:rPr>
                <w:rFonts w:ascii="Calibri" w:hAnsi="Calibri"/>
                <w:b/>
                <w:sz w:val="17"/>
              </w:rPr>
              <w:t xml:space="preserve">Consequence / qualification</w:t>
            </w:r>
          </w:p>
        </w:tc>
      </w:tr>
      <w:tr>
        <w:tc>
          <w:tcPr>
            <w:tcW w:type="dxa" w:w="1689"/>
          </w:tcPr>
          <w:p>
            <w:pPr>
              <w:pStyle w:val="BodyText"/>
              <w:keepNext w:val="0"/>
              <w:spacing w:after="80" w:line="252" w:lineRule="auto"/>
              <w:jc w:val="left"/>
            </w:pPr>
            <w:r>
              <w:rPr>
                <w:rFonts w:ascii="Calibri" w:hAnsi="Calibri"/>
                <w:sz w:val="17"/>
              </w:rPr>
              <w:t xml:space="preserve">U — Source underivation</w:t>
            </w:r>
          </w:p>
        </w:tc>
        <w:tc>
          <w:tcPr>
            <w:tcW w:type="dxa" w:w="1649"/>
          </w:tcPr>
          <w:p>
            <w:pPr>
              <w:pStyle w:val="BodyText"/>
              <w:keepNext w:val="0"/>
              <w:spacing w:after="80" w:line="252" w:lineRule="auto"/>
              <w:jc w:val="left"/>
            </w:pPr>
            <w:r>
              <w:rPr>
                <w:rFonts w:ascii="Calibri" w:hAnsi="Calibri"/>
                <w:sz w:val="17"/>
              </w:rPr>
              <w:t xml:space="preserve">Inherited premise</w:t>
            </w:r>
          </w:p>
        </w:tc>
        <w:tc>
          <w:tcPr>
            <w:tcW w:type="dxa" w:w="1649"/>
          </w:tcPr>
          <w:p>
            <w:pPr>
              <w:pStyle w:val="BodyText"/>
              <w:keepNext w:val="0"/>
              <w:spacing w:after="80" w:line="252" w:lineRule="auto"/>
              <w:jc w:val="left"/>
            </w:pPr>
            <w:r>
              <w:rPr>
                <w:rFonts w:ascii="Calibri" w:hAnsi="Calibri"/>
                <w:sz w:val="17"/>
              </w:rPr>
              <w:t xml:space="preserve">No constitutive grounding of source actuality in something else.</w:t>
            </w:r>
          </w:p>
        </w:tc>
        <w:tc>
          <w:tcPr>
            <w:tcW w:type="dxa" w:w="1649"/>
          </w:tcPr>
          <w:p>
            <w:pPr>
              <w:pStyle w:val="BodyText"/>
              <w:keepNext w:val="0"/>
              <w:spacing w:after="80" w:line="252" w:lineRule="auto"/>
              <w:jc w:val="left"/>
            </w:pPr>
            <w:r>
              <w:rPr>
                <w:rFonts w:ascii="Calibri" w:hAnsi="Calibri"/>
                <w:sz w:val="17"/>
              </w:rPr>
              <w:t xml:space="preserve">Selected</w:t>
            </w:r>
          </w:p>
        </w:tc>
        <w:tc>
          <w:tcPr>
            <w:tcW w:type="dxa" w:w="1649"/>
          </w:tcPr>
          <w:p>
            <w:pPr>
              <w:pStyle w:val="BodyText"/>
              <w:keepNext w:val="0"/>
              <w:spacing w:after="80" w:line="252" w:lineRule="auto"/>
              <w:jc w:val="left"/>
            </w:pPr>
            <w:r>
              <w:rPr>
                <w:rFonts w:ascii="Calibri" w:hAnsi="Calibri"/>
                <w:sz w:val="17"/>
              </w:rPr>
              <w:t xml:space="preserve">Composite dependent source</w:t>
            </w:r>
          </w:p>
        </w:tc>
        <w:tc>
          <w:tcPr>
            <w:tcW w:type="dxa" w:w="1649"/>
          </w:tcPr>
          <w:p>
            <w:pPr>
              <w:pStyle w:val="BodyText"/>
              <w:keepNext w:val="0"/>
              <w:spacing w:after="80" w:line="252" w:lineRule="auto"/>
              <w:jc w:val="left"/>
            </w:pPr>
            <w:r>
              <w:rPr>
                <w:rFonts w:ascii="Calibri" w:hAnsi="Calibri"/>
                <w:sz w:val="17"/>
              </w:rPr>
              <w:t xml:space="preserve">A source may receive actuality or depend on constituents. Other retained simplicity theses could still block some cases; this toggle tracks this proof only.</w:t>
            </w:r>
          </w:p>
        </w:tc>
      </w:tr>
      <w:tr>
        <w:tc>
          <w:tcPr>
            <w:tcW w:type="dxa" w:w="1689"/>
          </w:tcPr>
          <w:p>
            <w:pPr>
              <w:pStyle w:val="BodyText"/>
              <w:keepNext w:val="0"/>
              <w:spacing w:after="80" w:line="252" w:lineRule="auto"/>
              <w:jc w:val="left"/>
            </w:pPr>
            <w:r>
              <w:rPr>
                <w:rFonts w:ascii="Calibri" w:hAnsi="Calibri"/>
                <w:sz w:val="17"/>
              </w:rPr>
              <w:t xml:space="preserve">KD — Constitution grounds dependence</w:t>
            </w:r>
          </w:p>
        </w:tc>
        <w:tc>
          <w:tcPr>
            <w:tcW w:type="dxa" w:w="1649"/>
          </w:tcPr>
          <w:p>
            <w:pPr>
              <w:pStyle w:val="BodyText"/>
              <w:keepNext w:val="0"/>
              <w:spacing w:after="80" w:line="252" w:lineRule="auto"/>
              <w:jc w:val="left"/>
            </w:pPr>
            <w:r>
              <w:rPr>
                <w:rFonts w:ascii="Calibri" w:hAnsi="Calibri"/>
                <w:sz w:val="17"/>
              </w:rPr>
              <w:t xml:space="preserve">Inherited bridge</w:t>
            </w:r>
          </w:p>
        </w:tc>
        <w:tc>
          <w:tcPr>
            <w:tcW w:type="dxa" w:w="1649"/>
          </w:tcPr>
          <w:p>
            <w:pPr>
              <w:pStyle w:val="BodyText"/>
              <w:keepNext w:val="0"/>
              <w:spacing w:after="80" w:line="252" w:lineRule="auto"/>
              <w:jc w:val="left"/>
            </w:pPr>
            <w:r>
              <w:rPr>
                <w:rFonts w:ascii="Calibri" w:hAnsi="Calibri"/>
                <w:sz w:val="17"/>
              </w:rPr>
              <w:t xml:space="preserve">Proper intrinsic constituents contribute grounds of the whole’s actuality.</w:t>
            </w:r>
          </w:p>
        </w:tc>
        <w:tc>
          <w:tcPr>
            <w:tcW w:type="dxa" w:w="1649"/>
          </w:tcPr>
          <w:p>
            <w:pPr>
              <w:pStyle w:val="BodyText"/>
              <w:keepNext w:val="0"/>
              <w:spacing w:after="80" w:line="252" w:lineRule="auto"/>
              <w:jc w:val="left"/>
            </w:pPr>
            <w:r>
              <w:rPr>
                <w:rFonts w:ascii="Calibri" w:hAnsi="Calibri"/>
                <w:sz w:val="17"/>
              </w:rPr>
              <w:t xml:space="preserve">Selected</w:t>
            </w:r>
          </w:p>
        </w:tc>
        <w:tc>
          <w:tcPr>
            <w:tcW w:type="dxa" w:w="1649"/>
          </w:tcPr>
          <w:p>
            <w:pPr>
              <w:pStyle w:val="BodyText"/>
              <w:keepNext w:val="0"/>
              <w:spacing w:after="80" w:line="252" w:lineRule="auto"/>
              <w:jc w:val="left"/>
            </w:pPr>
            <w:r>
              <w:rPr>
                <w:rFonts w:ascii="Calibri" w:hAnsi="Calibri"/>
                <w:sz w:val="17"/>
              </w:rPr>
              <w:t xml:space="preserve">Brute intrinsic unity</w:t>
            </w:r>
          </w:p>
        </w:tc>
        <w:tc>
          <w:tcPr>
            <w:tcW w:type="dxa" w:w="1649"/>
          </w:tcPr>
          <w:p>
            <w:pPr>
              <w:pStyle w:val="BodyText"/>
              <w:keepNext w:val="0"/>
              <w:spacing w:after="80" w:line="252" w:lineRule="auto"/>
              <w:jc w:val="left"/>
            </w:pPr>
            <w:r>
              <w:rPr>
                <w:rFonts w:ascii="Calibri" w:hAnsi="Calibri"/>
                <w:sz w:val="17"/>
              </w:rPr>
              <w:t xml:space="preserve">An efficiently uncaused or brute composite can evade the source noncomposition argument.</w:t>
            </w:r>
          </w:p>
        </w:tc>
      </w:tr>
      <w:tr>
        <w:tc>
          <w:tcPr>
            <w:tcW w:type="dxa" w:w="1689"/>
          </w:tcPr>
          <w:p>
            <w:pPr>
              <w:pStyle w:val="BodyText"/>
              <w:keepNext w:val="0"/>
              <w:spacing w:after="80" w:line="252" w:lineRule="auto"/>
              <w:jc w:val="left"/>
            </w:pPr>
            <w:r>
              <w:rPr>
                <w:rFonts w:ascii="Calibri" w:hAnsi="Calibri"/>
                <w:sz w:val="17"/>
              </w:rPr>
              <w:t xml:space="preserve">F — Unbounded / bounded actuality profile</w:t>
            </w:r>
          </w:p>
        </w:tc>
        <w:tc>
          <w:tcPr>
            <w:tcW w:type="dxa" w:w="1649"/>
          </w:tcPr>
          <w:p>
            <w:pPr>
              <w:pStyle w:val="BodyText"/>
              <w:keepNext w:val="0"/>
              <w:spacing w:after="80" w:line="252" w:lineRule="auto"/>
              <w:jc w:val="left"/>
            </w:pPr>
            <w:r>
              <w:rPr>
                <w:rFonts w:ascii="Calibri" w:hAnsi="Calibri"/>
                <w:sz w:val="17"/>
              </w:rPr>
              <w:t xml:space="preserve">Inherited profile</w:t>
            </w:r>
          </w:p>
        </w:tc>
        <w:tc>
          <w:tcPr>
            <w:tcW w:type="dxa" w:w="1649"/>
          </w:tcPr>
          <w:p>
            <w:pPr>
              <w:pStyle w:val="BodyText"/>
              <w:keepNext w:val="0"/>
              <w:spacing w:after="80" w:line="252" w:lineRule="auto"/>
              <w:jc w:val="left"/>
            </w:pPr>
            <w:r>
              <w:rPr>
                <w:rFonts w:ascii="Calibri" w:hAnsi="Calibri"/>
                <w:sz w:val="17"/>
              </w:rPr>
              <w:t xml:space="preserve">FS and FC compare source and created actuality in respect e.</w:t>
            </w:r>
          </w:p>
        </w:tc>
        <w:tc>
          <w:tcPr>
            <w:tcW w:type="dxa" w:w="1649"/>
          </w:tcPr>
          <w:p>
            <w:pPr>
              <w:pStyle w:val="BodyText"/>
              <w:keepNext w:val="0"/>
              <w:spacing w:after="80" w:line="252" w:lineRule="auto"/>
              <w:jc w:val="left"/>
            </w:pPr>
            <w:r>
              <w:rPr>
                <w:rFonts w:ascii="Calibri" w:hAnsi="Calibri"/>
                <w:sz w:val="17"/>
              </w:rPr>
              <w:t xml:space="preserve">Selected</w:t>
            </w:r>
          </w:p>
        </w:tc>
        <w:tc>
          <w:tcPr>
            <w:tcW w:type="dxa" w:w="1649"/>
          </w:tcPr>
          <w:p>
            <w:pPr>
              <w:pStyle w:val="BodyText"/>
              <w:keepNext w:val="0"/>
              <w:spacing w:after="80" w:line="252" w:lineRule="auto"/>
              <w:jc w:val="left"/>
            </w:pPr>
            <w:r>
              <w:rPr>
                <w:rFonts w:ascii="Calibri" w:hAnsi="Calibri"/>
                <w:sz w:val="17"/>
              </w:rPr>
              <w:t xml:space="preserve">Equal-mode source and effect</w:t>
            </w:r>
          </w:p>
        </w:tc>
        <w:tc>
          <w:tcPr>
            <w:tcW w:type="dxa" w:w="1649"/>
          </w:tcPr>
          <w:p>
            <w:pPr>
              <w:pStyle w:val="BodyText"/>
              <w:keepNext w:val="0"/>
              <w:spacing w:after="80" w:line="252" w:lineRule="auto"/>
              <w:jc w:val="left"/>
            </w:pPr>
            <w:r>
              <w:rPr>
                <w:rFonts w:ascii="Calibri" w:hAnsi="Calibri"/>
                <w:sz w:val="17"/>
              </w:rPr>
              <w:t xml:space="preserve">Finite effects need not fall below source measure. Infinity and finitude do not establish alternatives even when retained.</w:t>
            </w:r>
          </w:p>
        </w:tc>
      </w:tr>
      <w:tr>
        <w:tc>
          <w:tcPr>
            <w:tcW w:type="dxa" w:w="1689"/>
          </w:tcPr>
          <w:p>
            <w:pPr>
              <w:pStyle w:val="BodyText"/>
              <w:keepNext w:val="0"/>
              <w:spacing w:after="80" w:line="252" w:lineRule="auto"/>
              <w:jc w:val="left"/>
            </w:pPr>
            <w:r>
              <w:rPr>
                <w:rFonts w:ascii="Calibri" w:hAnsi="Calibri"/>
                <w:sz w:val="17"/>
              </w:rPr>
              <w:t xml:space="preserve">M — Live creation alternatives</w:t>
            </w:r>
          </w:p>
        </w:tc>
        <w:tc>
          <w:tcPr>
            <w:tcW w:type="dxa" w:w="1649"/>
          </w:tcPr>
          <w:p>
            <w:pPr>
              <w:pStyle w:val="BodyText"/>
              <w:keepNext w:val="0"/>
              <w:spacing w:after="80" w:line="252" w:lineRule="auto"/>
              <w:jc w:val="left"/>
            </w:pPr>
            <w:r>
              <w:rPr>
                <w:rFonts w:ascii="Calibri" w:hAnsi="Calibri"/>
                <w:sz w:val="17"/>
              </w:rPr>
              <w:t xml:space="preserve">Additional premise</w:t>
            </w:r>
          </w:p>
        </w:tc>
        <w:tc>
          <w:tcPr>
            <w:tcW w:type="dxa" w:w="1649"/>
          </w:tcPr>
          <w:p>
            <w:pPr>
              <w:pStyle w:val="BodyText"/>
              <w:keepNext w:val="0"/>
              <w:spacing w:after="80" w:line="252" w:lineRule="auto"/>
              <w:jc w:val="left"/>
            </w:pPr>
            <w:r>
              <w:rPr>
                <w:rFonts w:ascii="Calibri" w:hAnsi="Calibri"/>
                <w:sz w:val="17"/>
              </w:rPr>
              <w:t xml:space="preserve">Admissible orders A, B, and no creation; their metaphysical possibility is asserted and needs warrant.</w:t>
            </w:r>
          </w:p>
        </w:tc>
        <w:tc>
          <w:tcPr>
            <w:tcW w:type="dxa" w:w="1649"/>
          </w:tcPr>
          <w:p>
            <w:pPr>
              <w:pStyle w:val="BodyText"/>
              <w:keepNext w:val="0"/>
              <w:spacing w:after="80" w:line="252" w:lineRule="auto"/>
              <w:jc w:val="left"/>
            </w:pPr>
            <w:r>
              <w:rPr>
                <w:rFonts w:ascii="Calibri" w:hAnsi="Calibri"/>
                <w:sz w:val="17"/>
              </w:rPr>
              <w:t xml:space="preserve">Not selected</w:t>
            </w:r>
          </w:p>
        </w:tc>
        <w:tc>
          <w:tcPr>
            <w:tcW w:type="dxa" w:w="1649"/>
          </w:tcPr>
          <w:p>
            <w:pPr>
              <w:pStyle w:val="BodyText"/>
              <w:keepNext w:val="0"/>
              <w:spacing w:after="80" w:line="252" w:lineRule="auto"/>
              <w:jc w:val="left"/>
            </w:pPr>
            <w:r>
              <w:rPr>
                <w:rFonts w:ascii="Calibri" w:hAnsi="Calibri"/>
                <w:sz w:val="17"/>
              </w:rPr>
              <w:t xml:space="preserve">Necessary emanator</w:t>
            </w:r>
          </w:p>
        </w:tc>
        <w:tc>
          <w:tcPr>
            <w:tcW w:type="dxa" w:w="1649"/>
          </w:tcPr>
          <w:p>
            <w:pPr>
              <w:pStyle w:val="BodyText"/>
              <w:keepNext w:val="0"/>
              <w:spacing w:after="80" w:line="252" w:lineRule="auto"/>
              <w:jc w:val="left"/>
            </w:pPr>
            <w:r>
              <w:rPr>
                <w:rFonts w:ascii="Calibri" w:hAnsi="Calibri"/>
                <w:sz w:val="17"/>
              </w:rPr>
              <w:t xml:space="preserve">A necessary finite emanation remains compatible with the participation profile.</w:t>
            </w:r>
          </w:p>
        </w:tc>
      </w:tr>
      <w:tr>
        <w:tc>
          <w:tcPr>
            <w:tcW w:type="dxa" w:w="1689"/>
          </w:tcPr>
          <w:p>
            <w:pPr>
              <w:pStyle w:val="BodyText"/>
              <w:keepNext w:val="0"/>
              <w:spacing w:after="80" w:line="252" w:lineRule="auto"/>
              <w:jc w:val="left"/>
            </w:pPr>
            <w:r>
              <w:rPr>
                <w:rFonts w:ascii="Calibri" w:hAnsi="Calibri"/>
                <w:sz w:val="17"/>
              </w:rPr>
              <w:t xml:space="preserve">I — Intelligible reasons and possibilities</w:t>
            </w:r>
          </w:p>
        </w:tc>
        <w:tc>
          <w:tcPr>
            <w:tcW w:type="dxa" w:w="1649"/>
          </w:tcPr>
          <w:p>
            <w:pPr>
              <w:pStyle w:val="BodyText"/>
              <w:keepNext w:val="0"/>
              <w:spacing w:after="80" w:line="252" w:lineRule="auto"/>
              <w:jc w:val="left"/>
            </w:pPr>
            <w:r>
              <w:rPr>
                <w:rFonts w:ascii="Calibri" w:hAnsi="Calibri"/>
                <w:sz w:val="17"/>
              </w:rPr>
              <w:t xml:space="preserve">Additional premise</w:t>
            </w:r>
          </w:p>
        </w:tc>
        <w:tc>
          <w:tcPr>
            <w:tcW w:type="dxa" w:w="1649"/>
          </w:tcPr>
          <w:p>
            <w:pPr>
              <w:pStyle w:val="BodyText"/>
              <w:keepNext w:val="0"/>
              <w:spacing w:after="80" w:line="252" w:lineRule="auto"/>
              <w:jc w:val="left"/>
            </w:pPr>
            <w:r>
              <w:rPr>
                <w:rFonts w:ascii="Calibri" w:hAnsi="Calibri"/>
                <w:sz w:val="17"/>
              </w:rPr>
              <w:t xml:space="preserve">The source understands possible expressions and their goods. Intelligence needs a positive-perfection bridge; producing cognition alone is weaker.</w:t>
            </w:r>
          </w:p>
        </w:tc>
        <w:tc>
          <w:tcPr>
            <w:tcW w:type="dxa" w:w="1649"/>
          </w:tcPr>
          <w:p>
            <w:pPr>
              <w:pStyle w:val="BodyText"/>
              <w:keepNext w:val="0"/>
              <w:spacing w:after="80" w:line="252" w:lineRule="auto"/>
              <w:jc w:val="left"/>
            </w:pPr>
            <w:r>
              <w:rPr>
                <w:rFonts w:ascii="Calibri" w:hAnsi="Calibri"/>
                <w:sz w:val="17"/>
              </w:rPr>
              <w:t xml:space="preserve">Not selected</w:t>
            </w:r>
          </w:p>
        </w:tc>
        <w:tc>
          <w:tcPr>
            <w:tcW w:type="dxa" w:w="1649"/>
          </w:tcPr>
          <w:p>
            <w:pPr>
              <w:pStyle w:val="BodyText"/>
              <w:keepNext w:val="0"/>
              <w:spacing w:after="80" w:line="252" w:lineRule="auto"/>
              <w:jc w:val="left"/>
            </w:pPr>
            <w:r>
              <w:rPr>
                <w:rFonts w:ascii="Calibri" w:hAnsi="Calibri"/>
                <w:sz w:val="17"/>
              </w:rPr>
              <w:t xml:space="preserve">Action without understanding</w:t>
            </w:r>
          </w:p>
        </w:tc>
        <w:tc>
          <w:tcPr>
            <w:tcW w:type="dxa" w:w="1649"/>
          </w:tcPr>
          <w:p>
            <w:pPr>
              <w:pStyle w:val="BodyText"/>
              <w:keepNext w:val="0"/>
              <w:spacing w:after="80" w:line="252" w:lineRule="auto"/>
              <w:jc w:val="left"/>
            </w:pPr>
            <w:r>
              <w:rPr>
                <w:rFonts w:ascii="Calibri" w:hAnsi="Calibri"/>
                <w:sz w:val="17"/>
              </w:rPr>
              <w:t xml:space="preserve">A choice made by the agent can remain uncomprehending; alternatives alone supply no rational understanding.</w:t>
            </w:r>
          </w:p>
        </w:tc>
      </w:tr>
      <w:tr>
        <w:tc>
          <w:tcPr>
            <w:tcW w:type="dxa" w:w="1689"/>
          </w:tcPr>
          <w:p>
            <w:pPr>
              <w:pStyle w:val="BodyText"/>
              <w:keepNext w:val="0"/>
              <w:spacing w:after="80" w:line="252" w:lineRule="auto"/>
              <w:jc w:val="left"/>
            </w:pPr>
            <w:r>
              <w:rPr>
                <w:rFonts w:ascii="Calibri" w:hAnsi="Calibri"/>
                <w:sz w:val="17"/>
              </w:rPr>
              <w:t xml:space="preserve">A — Control of the action</w:t>
            </w:r>
          </w:p>
        </w:tc>
        <w:tc>
          <w:tcPr>
            <w:tcW w:type="dxa" w:w="1649"/>
          </w:tcPr>
          <w:p>
            <w:pPr>
              <w:pStyle w:val="BodyText"/>
              <w:keepNext w:val="0"/>
              <w:spacing w:after="80" w:line="252" w:lineRule="auto"/>
              <w:jc w:val="left"/>
            </w:pPr>
            <w:r>
              <w:rPr>
                <w:rFonts w:ascii="Calibri" w:hAnsi="Calibri"/>
                <w:sz w:val="17"/>
              </w:rPr>
              <w:t xml:space="preserve">Agency proposal</w:t>
            </w:r>
          </w:p>
        </w:tc>
        <w:tc>
          <w:tcPr>
            <w:tcW w:type="dxa" w:w="1649"/>
          </w:tcPr>
          <w:p>
            <w:pPr>
              <w:pStyle w:val="BodyText"/>
              <w:keepNext w:val="0"/>
              <w:spacing w:after="80" w:line="252" w:lineRule="auto"/>
              <w:jc w:val="left"/>
            </w:pPr>
            <w:r>
              <w:rPr>
                <w:rFonts w:ascii="Calibri" w:hAnsi="Calibri"/>
                <w:sz w:val="17"/>
              </w:rPr>
              <w:t xml:space="preserve">The actual choice originates in the source’s intentional control. A reason can render it intelligible without uniquely necessitating it.</w:t>
            </w:r>
          </w:p>
        </w:tc>
        <w:tc>
          <w:tcPr>
            <w:tcW w:type="dxa" w:w="1649"/>
          </w:tcPr>
          <w:p>
            <w:pPr>
              <w:pStyle w:val="BodyText"/>
              <w:keepNext w:val="0"/>
              <w:spacing w:after="80" w:line="252" w:lineRule="auto"/>
              <w:jc w:val="left"/>
            </w:pPr>
            <w:r>
              <w:rPr>
                <w:rFonts w:ascii="Calibri" w:hAnsi="Calibri"/>
                <w:sz w:val="17"/>
              </w:rPr>
              <w:t xml:space="preserve">Not selected</w:t>
            </w:r>
          </w:p>
        </w:tc>
        <w:tc>
          <w:tcPr>
            <w:tcW w:type="dxa" w:w="1649"/>
          </w:tcPr>
          <w:p>
            <w:pPr>
              <w:pStyle w:val="BodyText"/>
              <w:keepNext w:val="0"/>
              <w:spacing w:after="80" w:line="252" w:lineRule="auto"/>
              <w:jc w:val="left"/>
            </w:pPr>
            <w:r>
              <w:rPr>
                <w:rFonts w:ascii="Calibri" w:hAnsi="Calibri"/>
                <w:sz w:val="17"/>
              </w:rPr>
              <w:t xml:space="preserve">Source-level lottery</w:t>
            </w:r>
          </w:p>
        </w:tc>
        <w:tc>
          <w:tcPr>
            <w:tcW w:type="dxa" w:w="1649"/>
          </w:tcPr>
          <w:p>
            <w:pPr>
              <w:pStyle w:val="BodyText"/>
              <w:keepNext w:val="0"/>
              <w:spacing w:after="80" w:line="252" w:lineRule="auto"/>
              <w:jc w:val="left"/>
            </w:pPr>
            <w:r>
              <w:rPr>
                <w:rFonts w:ascii="Calibri" w:hAnsi="Calibri"/>
                <w:sz w:val="17"/>
              </w:rPr>
              <w:t xml:space="preserve">An impersonal spontaneous process can select among alternatives while every effect remains source-dependent.</w:t>
            </w:r>
          </w:p>
        </w:tc>
      </w:tr>
      <w:tr>
        <w:tc>
          <w:tcPr>
            <w:tcW w:type="dxa" w:w="1689"/>
          </w:tcPr>
          <w:p>
            <w:pPr>
              <w:pStyle w:val="BodyText"/>
              <w:keepNext w:val="0"/>
              <w:spacing w:after="80" w:line="252" w:lineRule="auto"/>
              <w:jc w:val="left"/>
            </w:pPr>
            <w:r>
              <w:rPr>
                <w:rFonts w:ascii="Calibri" w:hAnsi="Calibri"/>
                <w:sz w:val="17"/>
              </w:rPr>
              <w:t xml:space="preserve">T — Intention and effect correspond</w:t>
            </w:r>
          </w:p>
        </w:tc>
        <w:tc>
          <w:tcPr>
            <w:tcW w:type="dxa" w:w="1649"/>
          </w:tcPr>
          <w:p>
            <w:pPr>
              <w:pStyle w:val="BodyText"/>
              <w:keepNext w:val="0"/>
              <w:spacing w:after="80" w:line="252" w:lineRule="auto"/>
              <w:jc w:val="left"/>
            </w:pPr>
            <w:r>
              <w:rPr>
                <w:rFonts w:ascii="Calibri" w:hAnsi="Calibri"/>
                <w:sz w:val="17"/>
              </w:rPr>
              <w:t xml:space="preserve">Specification proposal</w:t>
            </w:r>
          </w:p>
        </w:tc>
        <w:tc>
          <w:tcPr>
            <w:tcW w:type="dxa" w:w="1649"/>
          </w:tcPr>
          <w:p>
            <w:pPr>
              <w:pStyle w:val="BodyText"/>
              <w:keepNext w:val="0"/>
              <w:spacing w:after="80" w:line="252" w:lineRule="auto"/>
              <w:jc w:val="left"/>
            </w:pPr>
            <w:r>
              <w:rPr>
                <w:rFonts w:ascii="Calibri" w:hAnsi="Calibri"/>
                <w:sz w:val="17"/>
              </w:rPr>
              <w:t xml:space="preserve">The agent’s action realizes its intended plan as an actual effect. A label on the effect is insufficient.</w:t>
            </w:r>
          </w:p>
        </w:tc>
        <w:tc>
          <w:tcPr>
            <w:tcW w:type="dxa" w:w="1649"/>
          </w:tcPr>
          <w:p>
            <w:pPr>
              <w:pStyle w:val="BodyText"/>
              <w:keepNext w:val="0"/>
              <w:spacing w:after="80" w:line="252" w:lineRule="auto"/>
              <w:jc w:val="left"/>
            </w:pPr>
            <w:r>
              <w:rPr>
                <w:rFonts w:ascii="Calibri" w:hAnsi="Calibri"/>
                <w:sz w:val="17"/>
              </w:rPr>
              <w:t xml:space="preserve">Not selected</w:t>
            </w:r>
          </w:p>
        </w:tc>
        <w:tc>
          <w:tcPr>
            <w:tcW w:type="dxa" w:w="1649"/>
          </w:tcPr>
          <w:p>
            <w:pPr>
              <w:pStyle w:val="BodyText"/>
              <w:keepNext w:val="0"/>
              <w:spacing w:after="80" w:line="252" w:lineRule="auto"/>
              <w:jc w:val="left"/>
            </w:pPr>
            <w:r>
              <w:rPr>
                <w:rFonts w:ascii="Calibri" w:hAnsi="Calibri"/>
                <w:sz w:val="17"/>
              </w:rPr>
              <w:t xml:space="preserve">Intention without effective specification</w:t>
            </w:r>
          </w:p>
        </w:tc>
        <w:tc>
          <w:tcPr>
            <w:tcW w:type="dxa" w:w="1649"/>
          </w:tcPr>
          <w:p>
            <w:pPr>
              <w:pStyle w:val="BodyText"/>
              <w:keepNext w:val="0"/>
              <w:spacing w:after="80" w:line="252" w:lineRule="auto"/>
              <w:jc w:val="left"/>
            </w:pPr>
            <w:r>
              <w:rPr>
                <w:rFonts w:ascii="Calibri" w:hAnsi="Calibri"/>
                <w:sz w:val="17"/>
              </w:rPr>
              <w:t xml:space="preserve">An intended plan need not coincide with the actual outcome. Other specification ontologies may supply a substitute.</w:t>
            </w:r>
          </w:p>
        </w:tc>
      </w:tr>
      <w:tr>
        <w:tc>
          <w:tcPr>
            <w:tcW w:type="dxa" w:w="1689"/>
          </w:tcPr>
          <w:p>
            <w:pPr>
              <w:pStyle w:val="BodyText"/>
              <w:keepNext w:val="0"/>
              <w:spacing w:after="80" w:line="252" w:lineRule="auto"/>
              <w:jc w:val="left"/>
            </w:pPr>
            <w:r>
              <w:rPr>
                <w:rFonts w:ascii="Calibri" w:hAnsi="Calibri"/>
                <w:sz w:val="17"/>
              </w:rPr>
              <w:t xml:space="preserve">R — Awareness of the actual action</w:t>
            </w:r>
          </w:p>
        </w:tc>
        <w:tc>
          <w:tcPr>
            <w:tcW w:type="dxa" w:w="1649"/>
          </w:tcPr>
          <w:p>
            <w:pPr>
              <w:pStyle w:val="BodyText"/>
              <w:keepNext w:val="0"/>
              <w:spacing w:after="80" w:line="252" w:lineRule="auto"/>
              <w:jc w:val="left"/>
            </w:pPr>
            <w:r>
              <w:rPr>
                <w:rFonts w:ascii="Calibri" w:hAnsi="Calibri"/>
                <w:sz w:val="17"/>
              </w:rPr>
              <w:t xml:space="preserve">Epistemic proposal</w:t>
            </w:r>
          </w:p>
        </w:tc>
        <w:tc>
          <w:tcPr>
            <w:tcW w:type="dxa" w:w="1649"/>
          </w:tcPr>
          <w:p>
            <w:pPr>
              <w:pStyle w:val="BodyText"/>
              <w:keepNext w:val="0"/>
              <w:spacing w:after="80" w:line="252" w:lineRule="auto"/>
              <w:jc w:val="left"/>
            </w:pPr>
            <w:r>
              <w:rPr>
                <w:rFonts w:ascii="Calibri" w:hAnsi="Calibri"/>
                <w:sz w:val="17"/>
              </w:rPr>
              <w:t xml:space="preserve">Awareness discloses the source’s actual choice, rather than just its capacity or possible plans. Whether this counts as knowledge is examined separately.</w:t>
            </w:r>
          </w:p>
        </w:tc>
        <w:tc>
          <w:tcPr>
            <w:tcW w:type="dxa" w:w="1649"/>
          </w:tcPr>
          <w:p>
            <w:pPr>
              <w:pStyle w:val="BodyText"/>
              <w:keepNext w:val="0"/>
              <w:spacing w:after="80" w:line="252" w:lineRule="auto"/>
              <w:jc w:val="left"/>
            </w:pPr>
            <w:r>
              <w:rPr>
                <w:rFonts w:ascii="Calibri" w:hAnsi="Calibri"/>
                <w:sz w:val="17"/>
              </w:rPr>
              <w:t xml:space="preserve">Not selected</w:t>
            </w:r>
          </w:p>
        </w:tc>
        <w:tc>
          <w:tcPr>
            <w:tcW w:type="dxa" w:w="1649"/>
          </w:tcPr>
          <w:p>
            <w:pPr>
              <w:pStyle w:val="BodyText"/>
              <w:keepNext w:val="0"/>
              <w:spacing w:after="80" w:line="252" w:lineRule="auto"/>
              <w:jc w:val="left"/>
            </w:pPr>
            <w:r>
              <w:rPr>
                <w:rFonts w:ascii="Calibri" w:hAnsi="Calibri"/>
                <w:sz w:val="17"/>
              </w:rPr>
              <w:t xml:space="preserve">Capacity-aware source</w:t>
            </w:r>
          </w:p>
        </w:tc>
        <w:tc>
          <w:tcPr>
            <w:tcW w:type="dxa" w:w="1649"/>
          </w:tcPr>
          <w:p>
            <w:pPr>
              <w:pStyle w:val="BodyText"/>
              <w:keepNext w:val="0"/>
              <w:spacing w:after="80" w:line="252" w:lineRule="auto"/>
              <w:jc w:val="left"/>
            </w:pPr>
            <w:r>
              <w:rPr>
                <w:rFonts w:ascii="Calibri" w:hAnsi="Calibri"/>
                <w:sz w:val="17"/>
              </w:rPr>
              <w:t xml:space="preserve">Possibilities remain known while which exercise is actual is not disclosed. Other non-receptive epistemologies remain possible.</w:t>
            </w:r>
          </w:p>
        </w:tc>
      </w:tr>
      <w:tr>
        <w:tc>
          <w:tcPr>
            <w:tcW w:type="dxa" w:w="1689"/>
          </w:tcPr>
          <w:p>
            <w:pPr>
              <w:pStyle w:val="BodyText"/>
              <w:keepNext w:val="0"/>
              <w:spacing w:after="80" w:line="252" w:lineRule="auto"/>
              <w:jc w:val="left"/>
            </w:pPr>
            <w:r>
              <w:rPr>
                <w:rFonts w:ascii="Calibri" w:hAnsi="Calibri"/>
                <w:sz w:val="17"/>
              </w:rPr>
              <w:t xml:space="preserve">CT — The action discloses its effect</w:t>
            </w:r>
          </w:p>
        </w:tc>
        <w:tc>
          <w:tcPr>
            <w:tcW w:type="dxa" w:w="1649"/>
          </w:tcPr>
          <w:p>
            <w:pPr>
              <w:pStyle w:val="BodyText"/>
              <w:keepNext w:val="0"/>
              <w:spacing w:after="80" w:line="252" w:lineRule="auto"/>
              <w:jc w:val="left"/>
            </w:pPr>
            <w:r>
              <w:rPr>
                <w:rFonts w:ascii="Calibri" w:hAnsi="Calibri"/>
                <w:sz w:val="17"/>
              </w:rPr>
              <w:t xml:space="preserve">Epistemic proposal</w:t>
            </w:r>
          </w:p>
        </w:tc>
        <w:tc>
          <w:tcPr>
            <w:tcW w:type="dxa" w:w="1649"/>
          </w:tcPr>
          <w:p>
            <w:pPr>
              <w:pStyle w:val="BodyText"/>
              <w:keepNext w:val="0"/>
              <w:spacing w:after="80" w:line="252" w:lineRule="auto"/>
              <w:jc w:val="left"/>
            </w:pPr>
            <w:r>
              <w:rPr>
                <w:rFonts w:ascii="Calibri" w:hAnsi="Calibri"/>
                <w:sz w:val="17"/>
              </w:rPr>
              <w:t xml:space="preserve">Awareness of the actual action adequately discloses its actual effect.</w:t>
            </w:r>
          </w:p>
        </w:tc>
        <w:tc>
          <w:tcPr>
            <w:tcW w:type="dxa" w:w="1649"/>
          </w:tcPr>
          <w:p>
            <w:pPr>
              <w:pStyle w:val="BodyText"/>
              <w:keepNext w:val="0"/>
              <w:spacing w:after="80" w:line="252" w:lineRule="auto"/>
              <w:jc w:val="left"/>
            </w:pPr>
            <w:r>
              <w:rPr>
                <w:rFonts w:ascii="Calibri" w:hAnsi="Calibri"/>
                <w:sz w:val="17"/>
              </w:rPr>
              <w:t xml:space="preserve">Not selected</w:t>
            </w:r>
          </w:p>
        </w:tc>
        <w:tc>
          <w:tcPr>
            <w:tcW w:type="dxa" w:w="1649"/>
          </w:tcPr>
          <w:p>
            <w:pPr>
              <w:pStyle w:val="BodyText"/>
              <w:keepNext w:val="0"/>
              <w:spacing w:after="80" w:line="252" w:lineRule="auto"/>
              <w:jc w:val="left"/>
            </w:pPr>
            <w:r>
              <w:rPr>
                <w:rFonts w:ascii="Calibri" w:hAnsi="Calibri"/>
                <w:sz w:val="17"/>
              </w:rPr>
              <w:t xml:space="preserve">Effect not disclosed by the action</w:t>
            </w:r>
          </w:p>
        </w:tc>
        <w:tc>
          <w:tcPr>
            <w:tcW w:type="dxa" w:w="1649"/>
          </w:tcPr>
          <w:p>
            <w:pPr>
              <w:pStyle w:val="BodyText"/>
              <w:keepNext w:val="0"/>
              <w:spacing w:after="80" w:line="252" w:lineRule="auto"/>
              <w:jc w:val="left"/>
            </w:pPr>
            <w:r>
              <w:rPr>
                <w:rFonts w:ascii="Calibri" w:hAnsi="Calibri"/>
                <w:sz w:val="17"/>
              </w:rPr>
              <w:t xml:space="preserve">Awareness of one’s action need not disclose every external result. Scope and adequacy still need defending.</w:t>
            </w:r>
          </w:p>
        </w:tc>
      </w:tr>
      <w:tr>
        <w:tc>
          <w:tcPr>
            <w:tcW w:type="dxa" w:w="1689"/>
          </w:tcPr>
          <w:p>
            <w:pPr>
              <w:pStyle w:val="BodyText"/>
              <w:keepNext w:val="0"/>
              <w:spacing w:after="80" w:line="252" w:lineRule="auto"/>
              <w:jc w:val="left"/>
            </w:pPr>
            <w:r>
              <w:rPr>
                <w:rFonts w:ascii="Calibri" w:hAnsi="Calibri"/>
                <w:sz w:val="17"/>
              </w:rPr>
              <w:t xml:space="preserve">X — Same intrinsic actuality across alternatives</w:t>
            </w:r>
          </w:p>
        </w:tc>
        <w:tc>
          <w:tcPr>
            <w:tcW w:type="dxa" w:w="1649"/>
          </w:tcPr>
          <w:p>
            <w:pPr>
              <w:pStyle w:val="BodyText"/>
              <w:keepNext w:val="0"/>
              <w:spacing w:after="80" w:line="252" w:lineRule="auto"/>
              <w:jc w:val="left"/>
            </w:pPr>
            <w:r>
              <w:rPr>
                <w:rFonts w:ascii="Calibri" w:hAnsi="Calibri"/>
                <w:sz w:val="17"/>
              </w:rPr>
              <w:t xml:space="preserve">Optional compatibility commitment</w:t>
            </w:r>
          </w:p>
        </w:tc>
        <w:tc>
          <w:tcPr>
            <w:tcW w:type="dxa" w:w="1649"/>
          </w:tcPr>
          <w:p>
            <w:pPr>
              <w:pStyle w:val="BodyText"/>
              <w:keepNext w:val="0"/>
              <w:spacing w:after="80" w:line="252" w:lineRule="auto"/>
              <w:jc w:val="left"/>
            </w:pPr>
            <w:r>
              <w:rPr>
                <w:rFonts w:ascii="Calibri" w:hAnsi="Calibri"/>
                <w:sz w:val="17"/>
              </w:rPr>
              <w:t xml:space="preserve">The source’s intrinsic profile is invariant across admitted created outcomes. Neither noncomposition nor temporal changelessness establishes this.</w:t>
            </w:r>
          </w:p>
        </w:tc>
        <w:tc>
          <w:tcPr>
            <w:tcW w:type="dxa" w:w="1649"/>
          </w:tcPr>
          <w:p>
            <w:pPr>
              <w:pStyle w:val="BodyText"/>
              <w:keepNext w:val="0"/>
              <w:spacing w:after="80" w:line="252" w:lineRule="auto"/>
              <w:jc w:val="left"/>
            </w:pPr>
            <w:r>
              <w:rPr>
                <w:rFonts w:ascii="Calibri" w:hAnsi="Calibri"/>
                <w:sz w:val="17"/>
              </w:rPr>
              <w:t xml:space="preserve">Selected</w:t>
            </w:r>
          </w:p>
        </w:tc>
        <w:tc>
          <w:tcPr>
            <w:tcW w:type="dxa" w:w="1649"/>
          </w:tcPr>
          <w:p>
            <w:pPr>
              <w:pStyle w:val="BodyText"/>
              <w:keepNext w:val="0"/>
              <w:spacing w:after="80" w:line="252" w:lineRule="auto"/>
              <w:jc w:val="left"/>
            </w:pPr>
            <w:r>
              <w:rPr>
                <w:rFonts w:ascii="Calibri" w:hAnsi="Calibri"/>
                <w:sz w:val="17"/>
              </w:rPr>
              <w:t xml:space="preserve">Noncomposite intrinsic-variation rival</w:t>
            </w:r>
          </w:p>
        </w:tc>
        <w:tc>
          <w:tcPr>
            <w:tcW w:type="dxa" w:w="1649"/>
          </w:tcPr>
          <w:p>
            <w:pPr>
              <w:pStyle w:val="BodyText"/>
              <w:keepNext w:val="0"/>
              <w:spacing w:after="80" w:line="252" w:lineRule="auto"/>
              <w:jc w:val="left"/>
            </w:pPr>
            <w:r>
              <w:rPr>
                <w:rFonts w:ascii="Calibri" w:hAnsi="Calibri"/>
                <w:sz w:val="17"/>
              </w:rPr>
              <w:t xml:space="preserve">A rival can vary intrinsic intention across worlds while remaining noncomposite and underived.</w:t>
            </w:r>
          </w:p>
        </w:tc>
      </w:tr>
      <w:tr>
        <w:tc>
          <w:tcPr>
            <w:tcW w:type="dxa" w:w="1689"/>
          </w:tcPr>
          <w:p>
            <w:pPr>
              <w:pStyle w:val="BodyText"/>
              <w:keepNext w:val="0"/>
              <w:spacing w:after="80" w:line="252" w:lineRule="auto"/>
              <w:jc w:val="left"/>
            </w:pPr>
            <w:r>
              <w:rPr>
                <w:rFonts w:ascii="Calibri" w:hAnsi="Calibri"/>
                <w:sz w:val="17"/>
              </w:rPr>
              <w:t xml:space="preserve">EP — Warrant for knowledge through one’s action</w:t>
            </w:r>
          </w:p>
        </w:tc>
        <w:tc>
          <w:tcPr>
            <w:tcW w:type="dxa" w:w="1649"/>
          </w:tcPr>
          <w:p>
            <w:pPr>
              <w:pStyle w:val="BodyText"/>
              <w:keepNext w:val="0"/>
              <w:spacing w:after="80" w:line="252" w:lineRule="auto"/>
              <w:jc w:val="left"/>
            </w:pPr>
            <w:r>
              <w:rPr>
                <w:rFonts w:ascii="Calibri" w:hAnsi="Calibri"/>
                <w:sz w:val="17"/>
              </w:rPr>
              <w:t xml:space="preserve">Epistemic bridge</w:t>
            </w:r>
          </w:p>
        </w:tc>
        <w:tc>
          <w:tcPr>
            <w:tcW w:type="dxa" w:w="1649"/>
          </w:tcPr>
          <w:p>
            <w:pPr>
              <w:pStyle w:val="BodyText"/>
              <w:keepNext w:val="0"/>
              <w:spacing w:after="80" w:line="252" w:lineRule="auto"/>
              <w:jc w:val="left"/>
            </w:pPr>
            <w:r>
              <w:rPr>
                <w:rFonts w:ascii="Calibri" w:hAnsi="Calibri"/>
                <w:sz w:val="17"/>
              </w:rPr>
              <w:t xml:space="preserve">Accurate awareness of the action and its effect counts as knowledge only with adequate warrant. Accuracy alone is insufficient.</w:t>
            </w:r>
          </w:p>
        </w:tc>
        <w:tc>
          <w:tcPr>
            <w:tcW w:type="dxa" w:w="1649"/>
          </w:tcPr>
          <w:p>
            <w:pPr>
              <w:pStyle w:val="BodyText"/>
              <w:keepNext w:val="0"/>
              <w:spacing w:after="80" w:line="252" w:lineRule="auto"/>
              <w:jc w:val="left"/>
            </w:pPr>
            <w:r>
              <w:rPr>
                <w:rFonts w:ascii="Calibri" w:hAnsi="Calibri"/>
                <w:sz w:val="17"/>
              </w:rPr>
              <w:t xml:space="preserve">Not selected</w:t>
            </w:r>
          </w:p>
        </w:tc>
        <w:tc>
          <w:tcPr>
            <w:tcW w:type="dxa" w:w="1649"/>
          </w:tcPr>
          <w:p>
            <w:pPr>
              <w:pStyle w:val="BodyText"/>
              <w:keepNext w:val="0"/>
              <w:spacing w:after="80" w:line="252" w:lineRule="auto"/>
              <w:jc w:val="left"/>
            </w:pPr>
            <w:r>
              <w:rPr>
                <w:rFonts w:ascii="Calibri" w:hAnsi="Calibri"/>
                <w:sz w:val="17"/>
              </w:rPr>
              <w:t xml:space="preserve">Accurate access without warranted knowledge</w:t>
            </w:r>
          </w:p>
        </w:tc>
        <w:tc>
          <w:tcPr>
            <w:tcW w:type="dxa" w:w="1649"/>
          </w:tcPr>
          <w:p>
            <w:pPr>
              <w:pStyle w:val="BodyText"/>
              <w:keepNext w:val="0"/>
              <w:spacing w:after="80" w:line="252" w:lineRule="auto"/>
              <w:jc w:val="left"/>
            </w:pPr>
            <w:r>
              <w:rPr>
                <w:rFonts w:ascii="Calibri" w:hAnsi="Calibri"/>
                <w:sz w:val="17"/>
              </w:rPr>
              <w:t xml:space="preserve">Correct access records may coexist with an unsupported knowledge claim. If R is instead defined as fully warranted knowledge, this bridge is absorbed into that stronger premise.</w:t>
            </w:r>
          </w:p>
        </w:tc>
      </w:tr>
    </w:tbl>
    <w:bookmarkEnd w:id="180"/>
    <w:bookmarkStart w:id="181" w:name="all-seven-documented-paths"/>
    <w:p>
      <w:pPr>
        <w:pStyle w:val="Heading3"/>
      </w:pPr>
      <w:r>
        <w:t xml:space="preserve">All seven documented paths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Path</w:t>
            </w:r>
          </w:p>
        </w:tc>
        <w:tc>
          <w:tcPr>
            <w:tcW w:type="dxa" w:w="2749"/>
            <w:shd w:fill="EAE5DA"/>
          </w:tcPr>
          <w:p>
            <w:pPr>
              <w:pStyle w:val="BodyText"/>
              <w:keepNext w:val="0"/>
              <w:spacing w:after="80" w:line="252" w:lineRule="auto"/>
              <w:jc w:val="left"/>
            </w:pPr>
            <w:r>
              <w:rPr>
                <w:rFonts w:ascii="Calibri" w:hAnsi="Calibri"/>
                <w:b/>
                <w:sz w:val="17"/>
              </w:rPr>
              <w:t xml:space="preserve">Required commitments</w:t>
            </w:r>
          </w:p>
        </w:tc>
        <w:tc>
          <w:tcPr>
            <w:tcW w:type="dxa" w:w="2749"/>
            <w:shd w:fill="EAE5DA"/>
          </w:tcPr>
          <w:p>
            <w:pPr>
              <w:pStyle w:val="BodyText"/>
              <w:keepNext w:val="0"/>
              <w:spacing w:after="80" w:line="252" w:lineRule="auto"/>
              <w:jc w:val="left"/>
            </w:pPr>
            <w:r>
              <w:rPr>
                <w:rFonts w:ascii="Calibri" w:hAnsi="Calibri"/>
                <w:b/>
                <w:sz w:val="17"/>
              </w:rPr>
              <w:t xml:space="preserve">Status</w:t>
            </w:r>
          </w:p>
        </w:tc>
        <w:tc>
          <w:tcPr>
            <w:tcW w:type="dxa" w:w="2749"/>
            <w:shd w:fill="EAE5DA"/>
          </w:tcPr>
          <w:p>
            <w:pPr>
              <w:pStyle w:val="BodyText"/>
              <w:keepNext w:val="0"/>
              <w:spacing w:after="80" w:line="252" w:lineRule="auto"/>
              <w:jc w:val="left"/>
            </w:pPr>
            <w:r>
              <w:rPr>
                <w:rFonts w:ascii="Calibri" w:hAnsi="Calibri"/>
                <w:b/>
                <w:sz w:val="17"/>
              </w:rPr>
              <w:t xml:space="preserve">Scope / qualification</w:t>
            </w:r>
          </w:p>
        </w:tc>
      </w:tr>
      <w:tr>
        <w:tc>
          <w:tcPr>
            <w:tcW w:type="dxa" w:w="1689"/>
          </w:tcPr>
          <w:p>
            <w:pPr>
              <w:pStyle w:val="BodyText"/>
              <w:keepNext w:val="0"/>
              <w:spacing w:after="80" w:line="252" w:lineRule="auto"/>
              <w:jc w:val="left"/>
            </w:pPr>
            <w:r>
              <w:rPr>
                <w:rFonts w:ascii="Calibri" w:hAnsi="Calibri"/>
                <w:sz w:val="17"/>
              </w:rPr>
              <w:t xml:space="preserve">Minimal noncomposition</w:t>
            </w:r>
          </w:p>
        </w:tc>
        <w:tc>
          <w:tcPr>
            <w:tcW w:type="dxa" w:w="2749"/>
          </w:tcPr>
          <w:p>
            <w:pPr>
              <w:pStyle w:val="BodyText"/>
              <w:keepNext w:val="0"/>
              <w:spacing w:after="80" w:line="252" w:lineRule="auto"/>
              <w:jc w:val="left"/>
            </w:pPr>
            <w:r>
              <w:rPr>
                <w:rFonts w:ascii="Calibri" w:hAnsi="Calibri"/>
                <w:sz w:val="17"/>
              </w:rPr>
              <w:t xml:space="preserve">U, KD</w:t>
            </w:r>
          </w:p>
        </w:tc>
        <w:tc>
          <w:tcPr>
            <w:tcW w:type="dxa" w:w="2749"/>
          </w:tcPr>
          <w:p>
            <w:pPr>
              <w:pStyle w:val="BodyText"/>
              <w:keepNext w:val="0"/>
              <w:spacing w:after="80" w:line="252" w:lineRule="auto"/>
              <w:jc w:val="left"/>
            </w:pPr>
            <w:r>
              <w:rPr>
                <w:rFonts w:ascii="Calibri" w:hAnsi="Calibri"/>
                <w:sz w:val="17"/>
              </w:rPr>
              <w:t xml:space="preserve">Conditional theorem</w:t>
            </w:r>
          </w:p>
        </w:tc>
        <w:tc>
          <w:tcPr>
            <w:tcW w:type="dxa" w:w="2749"/>
          </w:tcPr>
          <w:p>
            <w:pPr>
              <w:pStyle w:val="BodyText"/>
              <w:keepNext w:val="0"/>
              <w:spacing w:after="80" w:line="252" w:lineRule="auto"/>
              <w:jc w:val="left"/>
            </w:pPr>
            <w:r>
              <w:rPr>
                <w:rFonts w:ascii="Calibri" w:hAnsi="Calibri"/>
                <w:sz w:val="17"/>
              </w:rPr>
              <w:t xml:space="preserve">No proper intrinsic constituents, given the defended grounding bridge.</w:t>
            </w:r>
          </w:p>
        </w:tc>
      </w:tr>
      <w:tr>
        <w:tc>
          <w:tcPr>
            <w:tcW w:type="dxa" w:w="1689"/>
          </w:tcPr>
          <w:p>
            <w:pPr>
              <w:pStyle w:val="BodyText"/>
              <w:keepNext w:val="0"/>
              <w:spacing w:after="80" w:line="252" w:lineRule="auto"/>
              <w:jc w:val="left"/>
            </w:pPr>
            <w:r>
              <w:rPr>
                <w:rFonts w:ascii="Calibri" w:hAnsi="Calibri"/>
                <w:sz w:val="17"/>
              </w:rPr>
              <w:t xml:space="preserve">Finite non-exhaustion</w:t>
            </w:r>
          </w:p>
        </w:tc>
        <w:tc>
          <w:tcPr>
            <w:tcW w:type="dxa" w:w="2749"/>
          </w:tcPr>
          <w:p>
            <w:pPr>
              <w:pStyle w:val="BodyText"/>
              <w:keepNext w:val="0"/>
              <w:spacing w:after="80" w:line="252" w:lineRule="auto"/>
              <w:jc w:val="left"/>
            </w:pPr>
            <w:r>
              <w:rPr>
                <w:rFonts w:ascii="Calibri" w:hAnsi="Calibri"/>
                <w:sz w:val="17"/>
              </w:rPr>
              <w:t xml:space="preserve">F</w:t>
            </w:r>
          </w:p>
        </w:tc>
        <w:tc>
          <w:tcPr>
            <w:tcW w:type="dxa" w:w="2749"/>
          </w:tcPr>
          <w:p>
            <w:pPr>
              <w:pStyle w:val="BodyText"/>
              <w:keepNext w:val="0"/>
              <w:spacing w:after="80" w:line="252" w:lineRule="auto"/>
              <w:jc w:val="left"/>
            </w:pPr>
            <w:r>
              <w:rPr>
                <w:rFonts w:ascii="Calibri" w:hAnsi="Calibri"/>
                <w:sz w:val="17"/>
              </w:rPr>
              <w:t xml:space="preserve">Inherited conditional result</w:t>
            </w:r>
          </w:p>
        </w:tc>
        <w:tc>
          <w:tcPr>
            <w:tcW w:type="dxa" w:w="2749"/>
          </w:tcPr>
          <w:p>
            <w:pPr>
              <w:pStyle w:val="BodyText"/>
              <w:keepNext w:val="0"/>
              <w:spacing w:after="80" w:line="252" w:lineRule="auto"/>
              <w:jc w:val="left"/>
            </w:pPr>
            <w:r>
              <w:rPr>
                <w:rFonts w:ascii="Calibri" w:hAnsi="Calibri"/>
                <w:sz w:val="17"/>
              </w:rPr>
              <w:t xml:space="preserve">The selected source/receiver actuality measures are unequal; no contingency follows.</w:t>
            </w:r>
          </w:p>
        </w:tc>
      </w:tr>
      <w:tr>
        <w:tc>
          <w:tcPr>
            <w:tcW w:type="dxa" w:w="1689"/>
          </w:tcPr>
          <w:p>
            <w:pPr>
              <w:pStyle w:val="BodyText"/>
              <w:keepNext w:val="0"/>
              <w:spacing w:after="80" w:line="252" w:lineRule="auto"/>
              <w:jc w:val="left"/>
            </w:pPr>
            <w:r>
              <w:rPr>
                <w:rFonts w:ascii="Calibri" w:hAnsi="Calibri"/>
                <w:sz w:val="17"/>
              </w:rPr>
              <w:t xml:space="preserve">Whole-order alternatives</w:t>
            </w:r>
          </w:p>
        </w:tc>
        <w:tc>
          <w:tcPr>
            <w:tcW w:type="dxa" w:w="2749"/>
          </w:tcPr>
          <w:p>
            <w:pPr>
              <w:pStyle w:val="BodyText"/>
              <w:keepNext w:val="0"/>
              <w:spacing w:after="80" w:line="252" w:lineRule="auto"/>
              <w:jc w:val="left"/>
            </w:pPr>
            <w:r>
              <w:rPr>
                <w:rFonts w:ascii="Calibri" w:hAnsi="Calibri"/>
                <w:sz w:val="17"/>
              </w:rPr>
              <w:t xml:space="preserve">M</w:t>
            </w:r>
          </w:p>
        </w:tc>
        <w:tc>
          <w:tcPr>
            <w:tcW w:type="dxa" w:w="2749"/>
          </w:tcPr>
          <w:p>
            <w:pPr>
              <w:pStyle w:val="BodyText"/>
              <w:keepNext w:val="0"/>
              <w:spacing w:after="80" w:line="252" w:lineRule="auto"/>
              <w:jc w:val="left"/>
            </w:pPr>
            <w:r>
              <w:rPr>
                <w:rFonts w:ascii="Calibri" w:hAnsi="Calibri"/>
                <w:sz w:val="17"/>
              </w:rPr>
              <w:t xml:space="preserve">Additional modal premise</w:t>
            </w:r>
          </w:p>
        </w:tc>
        <w:tc>
          <w:tcPr>
            <w:tcW w:type="dxa" w:w="2749"/>
          </w:tcPr>
          <w:p>
            <w:pPr>
              <w:pStyle w:val="BodyText"/>
              <w:keepNext w:val="0"/>
              <w:spacing w:after="80" w:line="252" w:lineRule="auto"/>
              <w:jc w:val="left"/>
            </w:pPr>
            <w:r>
              <w:rPr>
                <w:rFonts w:ascii="Calibri" w:hAnsi="Calibri"/>
                <w:sz w:val="17"/>
              </w:rPr>
              <w:t xml:space="preserve">This is a disclosed extension, not a conclusion from infinity.</w:t>
            </w:r>
          </w:p>
        </w:tc>
      </w:tr>
      <w:tr>
        <w:tc>
          <w:tcPr>
            <w:tcW w:type="dxa" w:w="1689"/>
          </w:tcPr>
          <w:p>
            <w:pPr>
              <w:pStyle w:val="BodyText"/>
              <w:keepNext w:val="0"/>
              <w:spacing w:after="80" w:line="252" w:lineRule="auto"/>
              <w:jc w:val="left"/>
            </w:pPr>
            <w:r>
              <w:rPr>
                <w:rFonts w:ascii="Calibri" w:hAnsi="Calibri"/>
                <w:sz w:val="17"/>
              </w:rPr>
              <w:t xml:space="preserve">Intelligent intentional action</w:t>
            </w:r>
          </w:p>
        </w:tc>
        <w:tc>
          <w:tcPr>
            <w:tcW w:type="dxa" w:w="2749"/>
          </w:tcPr>
          <w:p>
            <w:pPr>
              <w:pStyle w:val="BodyText"/>
              <w:keepNext w:val="0"/>
              <w:spacing w:after="80" w:line="252" w:lineRule="auto"/>
              <w:jc w:val="left"/>
            </w:pPr>
            <w:r>
              <w:rPr>
                <w:rFonts w:ascii="Calibri" w:hAnsi="Calibri"/>
                <w:sz w:val="17"/>
              </w:rPr>
              <w:t xml:space="preserve">M, I, A</w:t>
            </w:r>
          </w:p>
        </w:tc>
        <w:tc>
          <w:tcPr>
            <w:tcW w:type="dxa" w:w="2749"/>
          </w:tcPr>
          <w:p>
            <w:pPr>
              <w:pStyle w:val="BodyText"/>
              <w:keepNext w:val="0"/>
              <w:spacing w:after="80" w:line="252" w:lineRule="auto"/>
              <w:jc w:val="left"/>
            </w:pPr>
            <w:r>
              <w:rPr>
                <w:rFonts w:ascii="Calibri" w:hAnsi="Calibri"/>
                <w:sz w:val="17"/>
              </w:rPr>
              <w:t xml:space="preserve">Conditional agency account</w:t>
            </w:r>
          </w:p>
        </w:tc>
        <w:tc>
          <w:tcPr>
            <w:tcW w:type="dxa" w:w="2749"/>
          </w:tcPr>
          <w:p>
            <w:pPr>
              <w:pStyle w:val="BodyText"/>
              <w:keepNext w:val="0"/>
              <w:spacing w:after="80" w:line="252" w:lineRule="auto"/>
              <w:jc w:val="left"/>
            </w:pPr>
            <w:r>
              <w:rPr>
                <w:rFonts w:ascii="Calibri" w:hAnsi="Calibri"/>
                <w:sz w:val="17"/>
              </w:rPr>
              <w:t xml:space="preserve">A control and intelligibility model is added; these are not established by the source profile.</w:t>
            </w:r>
          </w:p>
        </w:tc>
      </w:tr>
      <w:tr>
        <w:tc>
          <w:tcPr>
            <w:tcW w:type="dxa" w:w="1689"/>
          </w:tcPr>
          <w:p>
            <w:pPr>
              <w:pStyle w:val="BodyText"/>
              <w:keepNext w:val="0"/>
              <w:spacing w:after="80" w:line="252" w:lineRule="auto"/>
              <w:jc w:val="left"/>
            </w:pPr>
            <w:r>
              <w:rPr>
                <w:rFonts w:ascii="Calibri" w:hAnsi="Calibri"/>
                <w:sz w:val="17"/>
              </w:rPr>
              <w:t xml:space="preserve">The agent intentionally produces this effect</w:t>
            </w:r>
          </w:p>
        </w:tc>
        <w:tc>
          <w:tcPr>
            <w:tcW w:type="dxa" w:w="2749"/>
          </w:tcPr>
          <w:p>
            <w:pPr>
              <w:pStyle w:val="BodyText"/>
              <w:keepNext w:val="0"/>
              <w:spacing w:after="80" w:line="252" w:lineRule="auto"/>
              <w:jc w:val="left"/>
            </w:pPr>
            <w:r>
              <w:rPr>
                <w:rFonts w:ascii="Calibri" w:hAnsi="Calibri"/>
                <w:sz w:val="17"/>
              </w:rPr>
              <w:t xml:space="preserve">M, I, A, T</w:t>
            </w:r>
          </w:p>
        </w:tc>
        <w:tc>
          <w:tcPr>
            <w:tcW w:type="dxa" w:w="2749"/>
          </w:tcPr>
          <w:p>
            <w:pPr>
              <w:pStyle w:val="BodyText"/>
              <w:keepNext w:val="0"/>
              <w:spacing w:after="80" w:line="252" w:lineRule="auto"/>
              <w:jc w:val="left"/>
            </w:pPr>
            <w:r>
              <w:rPr>
                <w:rFonts w:ascii="Calibri" w:hAnsi="Calibri"/>
                <w:sz w:val="17"/>
              </w:rPr>
              <w:t xml:space="preserve">Candidate specification account</w:t>
            </w:r>
          </w:p>
        </w:tc>
        <w:tc>
          <w:tcPr>
            <w:tcW w:type="dxa" w:w="2749"/>
          </w:tcPr>
          <w:p>
            <w:pPr>
              <w:pStyle w:val="BodyText"/>
              <w:keepNext w:val="0"/>
              <w:spacing w:after="80" w:line="252" w:lineRule="auto"/>
              <w:jc w:val="left"/>
            </w:pPr>
            <w:r>
              <w:rPr>
                <w:rFonts w:ascii="Calibri" w:hAnsi="Calibri"/>
                <w:sz w:val="17"/>
              </w:rPr>
              <w:t xml:space="preserve">The added premise connects the chosen plan to the actual effect.</w:t>
            </w:r>
          </w:p>
        </w:tc>
      </w:tr>
      <w:tr>
        <w:tc>
          <w:tcPr>
            <w:tcW w:type="dxa" w:w="1689"/>
          </w:tcPr>
          <w:p>
            <w:pPr>
              <w:pStyle w:val="BodyText"/>
              <w:keepNext w:val="0"/>
              <w:spacing w:after="80" w:line="252" w:lineRule="auto"/>
              <w:jc w:val="left"/>
            </w:pPr>
            <w:r>
              <w:rPr>
                <w:rFonts w:ascii="Calibri" w:hAnsi="Calibri"/>
                <w:sz w:val="17"/>
              </w:rPr>
              <w:t xml:space="preserve">Action with the same intrinsic source actuality</w:t>
            </w:r>
          </w:p>
        </w:tc>
        <w:tc>
          <w:tcPr>
            <w:tcW w:type="dxa" w:w="2749"/>
          </w:tcPr>
          <w:p>
            <w:pPr>
              <w:pStyle w:val="BodyText"/>
              <w:keepNext w:val="0"/>
              <w:spacing w:after="80" w:line="252" w:lineRule="auto"/>
              <w:jc w:val="left"/>
            </w:pPr>
            <w:r>
              <w:rPr>
                <w:rFonts w:ascii="Calibri" w:hAnsi="Calibri"/>
                <w:sz w:val="17"/>
              </w:rPr>
              <w:t xml:space="preserve">U, KD, M, I, A, T, X</w:t>
            </w:r>
          </w:p>
        </w:tc>
        <w:tc>
          <w:tcPr>
            <w:tcW w:type="dxa" w:w="2749"/>
          </w:tcPr>
          <w:p>
            <w:pPr>
              <w:pStyle w:val="BodyText"/>
              <w:keepNext w:val="0"/>
              <w:spacing w:after="80" w:line="252" w:lineRule="auto"/>
              <w:jc w:val="left"/>
            </w:pPr>
            <w:r>
              <w:rPr>
                <w:rFonts w:ascii="Calibri" w:hAnsi="Calibri"/>
                <w:sz w:val="17"/>
              </w:rPr>
              <w:t xml:space="preserve">Candidate compatibility model</w:t>
            </w:r>
          </w:p>
        </w:tc>
        <w:tc>
          <w:tcPr>
            <w:tcW w:type="dxa" w:w="2749"/>
          </w:tcPr>
          <w:p>
            <w:pPr>
              <w:pStyle w:val="BodyText"/>
              <w:keepNext w:val="0"/>
              <w:spacing w:after="80" w:line="252" w:lineRule="auto"/>
              <w:jc w:val="left"/>
            </w:pPr>
            <w:r>
              <w:rPr>
                <w:rFonts w:ascii="Calibri" w:hAnsi="Calibri"/>
                <w:sz w:val="17"/>
              </w:rPr>
              <w:t xml:space="preserve">The relational account of intentional action still needs philosophical defense.</w:t>
            </w:r>
          </w:p>
        </w:tc>
      </w:tr>
      <w:tr>
        <w:tc>
          <w:tcPr>
            <w:tcW w:type="dxa" w:w="1689"/>
          </w:tcPr>
          <w:p>
            <w:pPr>
              <w:pStyle w:val="BodyText"/>
              <w:keepNext w:val="0"/>
              <w:spacing w:after="80" w:line="252" w:lineRule="auto"/>
              <w:jc w:val="left"/>
            </w:pPr>
            <w:r>
              <w:rPr>
                <w:rFonts w:ascii="Calibri" w:hAnsi="Calibri"/>
                <w:sz w:val="17"/>
              </w:rPr>
              <w:t xml:space="preserve">Knowledge of the effect through actual action</w:t>
            </w:r>
          </w:p>
        </w:tc>
        <w:tc>
          <w:tcPr>
            <w:tcW w:type="dxa" w:w="2749"/>
          </w:tcPr>
          <w:p>
            <w:pPr>
              <w:pStyle w:val="BodyText"/>
              <w:keepNext w:val="0"/>
              <w:spacing w:after="80" w:line="252" w:lineRule="auto"/>
              <w:jc w:val="left"/>
            </w:pPr>
            <w:r>
              <w:rPr>
                <w:rFonts w:ascii="Calibri" w:hAnsi="Calibri"/>
                <w:sz w:val="17"/>
              </w:rPr>
              <w:t xml:space="preserve">I, A, T, R, CT, EP</w:t>
            </w:r>
          </w:p>
        </w:tc>
        <w:tc>
          <w:tcPr>
            <w:tcW w:type="dxa" w:w="2749"/>
          </w:tcPr>
          <w:p>
            <w:pPr>
              <w:pStyle w:val="BodyText"/>
              <w:keepNext w:val="0"/>
              <w:spacing w:after="80" w:line="252" w:lineRule="auto"/>
              <w:jc w:val="left"/>
            </w:pPr>
            <w:r>
              <w:rPr>
                <w:rFonts w:ascii="Calibri" w:hAnsi="Calibri"/>
                <w:sz w:val="17"/>
              </w:rPr>
              <w:t xml:space="preserve">Conditional epistemic account</w:t>
            </w:r>
          </w:p>
        </w:tc>
        <w:tc>
          <w:tcPr>
            <w:tcW w:type="dxa" w:w="2749"/>
          </w:tcPr>
          <w:p>
            <w:pPr>
              <w:pStyle w:val="BodyText"/>
              <w:keepNext w:val="0"/>
              <w:spacing w:after="80" w:line="252" w:lineRule="auto"/>
              <w:jc w:val="left"/>
            </w:pPr>
            <w:r>
              <w:rPr>
                <w:rFonts w:ascii="Calibri" w:hAnsi="Calibri"/>
                <w:sz w:val="17"/>
              </w:rPr>
              <w:t xml:space="preserve">Awareness of the action, disclosure of its effect, and explicit warrant establish this limited knowledge. Non-receptive divine knowledge additionally requires an argument that this awareness is not acquired from the effect; omniscience requires further work.</w:t>
            </w:r>
          </w:p>
        </w:tc>
      </w:tr>
    </w:tbl>
    <w:bookmarkEnd w:id="181"/>
    <w:bookmarkStart w:id="182" w:name="default-and-complete-selections"/>
    <w:p>
      <w:pPr>
        <w:pStyle w:val="Heading3"/>
      </w:pPr>
      <w:r>
        <w:t xml:space="preserve">Default and complete selections</w:t>
      </w:r>
    </w:p>
    <w:tbl>
      <w:tblPr>
        <w:tblStyle w:val="TableGrid"/>
        <w:tblW w:type="dxa" w:w="9936"/>
        <w:jc w:val="left"/>
        <w:tblLayout w:type="fixed"/>
        <w:tblLook w:firstRow="1" w:lastRow="0" w:firstColumn="0" w:lastColumn="0" w:noHBand="0" w:noVBand="0" w:val="0020"/>
      </w:tblPr>
      <w:tblGrid>
        <w:gridCol w:w="3312"/>
        <w:gridCol w:w="3312"/>
        <w:gridCol w:w="3312"/>
      </w:tblGrid>
      <w:tr>
        <w:trPr>
          <w:tblHeader w:val="true"/>
        </w:trPr>
        <w:tc>
          <w:tcPr>
            <w:tcW w:type="dxa" w:w="3312"/>
            <w:shd w:fill="EAE5DA"/>
          </w:tcPr>
          <w:p>
            <w:pPr>
              <w:pStyle w:val="BodyText"/>
              <w:keepNext w:val="0"/>
              <w:spacing w:after="80" w:line="252" w:lineRule="auto"/>
              <w:jc w:val="left"/>
            </w:pPr>
            <w:r>
              <w:rPr>
                <w:rFonts w:ascii="Calibri" w:hAnsi="Calibri"/>
                <w:b/>
                <w:sz w:val="17"/>
              </w:rPr>
              <w:t xml:space="preserve">Selection</w:t>
            </w:r>
          </w:p>
        </w:tc>
        <w:tc>
          <w:tcPr>
            <w:tcW w:type="dxa" w:w="3312"/>
            <w:shd w:fill="EAE5DA"/>
          </w:tcPr>
          <w:p>
            <w:pPr>
              <w:pStyle w:val="BodyText"/>
              <w:keepNext w:val="0"/>
              <w:spacing w:after="80" w:line="252" w:lineRule="auto"/>
              <w:jc w:val="left"/>
            </w:pPr>
            <w:r>
              <w:rPr>
                <w:rFonts w:ascii="Calibri" w:hAnsi="Calibri"/>
                <w:b/>
                <w:sz w:val="17"/>
              </w:rPr>
              <w:t xml:space="preserve">Commitments</w:t>
            </w:r>
          </w:p>
        </w:tc>
        <w:tc>
          <w:tcPr>
            <w:tcW w:type="dxa" w:w="3312"/>
            <w:shd w:fill="EAE5DA"/>
          </w:tcPr>
          <w:p>
            <w:pPr>
              <w:pStyle w:val="BodyText"/>
              <w:keepNext w:val="0"/>
              <w:spacing w:after="80" w:line="252" w:lineRule="auto"/>
              <w:jc w:val="left"/>
            </w:pPr>
            <w:r>
              <w:rPr>
                <w:rFonts w:ascii="Calibri" w:hAnsi="Calibri"/>
                <w:b/>
                <w:sz w:val="17"/>
              </w:rPr>
              <w:t xml:space="preserve">Available paths</w:t>
            </w:r>
          </w:p>
        </w:tc>
      </w:tr>
      <w:tr>
        <w:tc>
          <w:tcPr>
            <w:tcW w:type="dxa" w:w="3312"/>
          </w:tcPr>
          <w:p>
            <w:pPr>
              <w:pStyle w:val="BodyText"/>
              <w:keepNext w:val="0"/>
              <w:spacing w:after="80" w:line="252" w:lineRule="auto"/>
              <w:jc w:val="left"/>
            </w:pPr>
            <w:r>
              <w:rPr>
                <w:rFonts w:ascii="Calibri" w:hAnsi="Calibri"/>
                <w:sz w:val="17"/>
              </w:rPr>
              <w:t xml:space="preserve">Default inherited profile</w:t>
            </w:r>
          </w:p>
        </w:tc>
        <w:tc>
          <w:tcPr>
            <w:tcW w:type="dxa" w:w="3312"/>
          </w:tcPr>
          <w:p>
            <w:pPr>
              <w:pStyle w:val="BodyText"/>
              <w:keepNext w:val="0"/>
              <w:spacing w:after="80" w:line="252" w:lineRule="auto"/>
              <w:jc w:val="left"/>
            </w:pPr>
            <w:r>
              <w:rPr>
                <w:rFonts w:ascii="Calibri" w:hAnsi="Calibri"/>
                <w:sz w:val="17"/>
              </w:rPr>
              <w:t xml:space="preserve">U, KD, F, X</w:t>
            </w:r>
          </w:p>
        </w:tc>
        <w:tc>
          <w:tcPr>
            <w:tcW w:type="dxa" w:w="3312"/>
          </w:tcPr>
          <w:p>
            <w:pPr>
              <w:pStyle w:val="BodyText"/>
              <w:keepNext w:val="0"/>
              <w:spacing w:after="80" w:line="252" w:lineRule="auto"/>
              <w:jc w:val="left"/>
            </w:pPr>
            <w:r>
              <w:rPr>
                <w:rFonts w:ascii="Calibri" w:hAnsi="Calibri"/>
                <w:sz w:val="17"/>
              </w:rPr>
              <w:t xml:space="preserve">2 / 7</w:t>
            </w:r>
          </w:p>
        </w:tc>
      </w:tr>
      <w:tr>
        <w:tc>
          <w:tcPr>
            <w:tcW w:type="dxa" w:w="3312"/>
          </w:tcPr>
          <w:p>
            <w:pPr>
              <w:pStyle w:val="BodyText"/>
              <w:keepNext w:val="0"/>
              <w:spacing w:after="80" w:line="252" w:lineRule="auto"/>
              <w:jc w:val="left"/>
            </w:pPr>
            <w:r>
              <w:rPr>
                <w:rFonts w:ascii="Calibri" w:hAnsi="Calibri"/>
                <w:sz w:val="17"/>
              </w:rPr>
              <w:t xml:space="preserve">Every candidate commitment</w:t>
            </w:r>
          </w:p>
        </w:tc>
        <w:tc>
          <w:tcPr>
            <w:tcW w:type="dxa" w:w="3312"/>
          </w:tcPr>
          <w:p>
            <w:pPr>
              <w:pStyle w:val="BodyText"/>
              <w:keepNext w:val="0"/>
              <w:spacing w:after="80" w:line="252" w:lineRule="auto"/>
              <w:jc w:val="left"/>
            </w:pPr>
            <w:r>
              <w:rPr>
                <w:rFonts w:ascii="Calibri" w:hAnsi="Calibri"/>
                <w:sz w:val="17"/>
              </w:rPr>
              <w:t xml:space="preserve">U, KD, F, M, I, A, T, R, CT, X, EP</w:t>
            </w:r>
          </w:p>
        </w:tc>
        <w:tc>
          <w:tcPr>
            <w:tcW w:type="dxa" w:w="3312"/>
          </w:tcPr>
          <w:p>
            <w:pPr>
              <w:pStyle w:val="BodyText"/>
              <w:keepNext w:val="0"/>
              <w:spacing w:after="80" w:line="252" w:lineRule="auto"/>
              <w:jc w:val="left"/>
            </w:pPr>
            <w:r>
              <w:rPr>
                <w:rFonts w:ascii="Calibri" w:hAnsi="Calibri"/>
                <w:sz w:val="17"/>
              </w:rPr>
              <w:t xml:space="preserve">7 / 7</w:t>
            </w:r>
          </w:p>
        </w:tc>
      </w:tr>
    </w:tbl>
    <w:p>
      <w:pPr>
        <w:pStyle w:val="BodyText"/>
      </w:pPr>
      <w:r>
        <w:t xml:space="preserve">Still open with every box selected: full simplicity beyond defended dependence arguments; how particular intentional actions can occur without a difference in intrinsic source actuality; adequate knowledge of all secondary free acts and all truths.</w:t>
      </w:r>
    </w:p>
    <w:bookmarkEnd w:id="182"/>
    <w:bookmarkStart w:id="186" w:name="all-three-modal-scenarios"/>
    <w:p>
      <w:pPr>
        <w:pStyle w:val="Heading3"/>
      </w:pPr>
      <w:r>
        <w:t xml:space="preserve">All three modal scenarios</w:t>
      </w:r>
    </w:p>
    <w:bookmarkStart w:id="183" w:name="X2c565368dbe88e7ce17c7f492b422970076b925"/>
    <w:p>
      <w:pPr>
        <w:pStyle w:val="Heading4"/>
      </w:pPr>
      <w:r>
        <w:t xml:space="preserve">An inexhaustible source; a necessary cosmos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Alternative</w:t>
            </w:r>
          </w:p>
        </w:tc>
        <w:tc>
          <w:tcPr>
            <w:tcW w:type="dxa" w:w="7452"/>
            <w:shd w:fill="EAE5DA"/>
          </w:tcPr>
          <w:p>
            <w:pPr>
              <w:pStyle w:val="BodyText"/>
              <w:keepNext w:val="0"/>
              <w:spacing w:after="80" w:line="252" w:lineRule="auto"/>
              <w:jc w:val="left"/>
            </w:pPr>
            <w:r>
              <w:rPr>
                <w:rFonts w:ascii="Calibri" w:hAnsi="Calibri"/>
                <w:b/>
                <w:sz w:val="17"/>
              </w:rPr>
              <w:t xml:space="preserve">Assigned world label</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g → A</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g → A</w:t>
            </w:r>
          </w:p>
        </w:tc>
      </w:tr>
      <w:tr>
        <w:tc>
          <w:tcPr>
            <w:tcW w:type="dxa" w:w="2484"/>
          </w:tcPr>
          <w:p>
            <w:pPr>
              <w:pStyle w:val="BodyText"/>
              <w:keepNext w:val="0"/>
              <w:spacing w:after="80" w:line="252" w:lineRule="auto"/>
              <w:jc w:val="left"/>
            </w:pPr>
            <w:r>
              <w:rPr>
                <w:rFonts w:ascii="Calibri" w:hAnsi="Calibri"/>
                <w:sz w:val="17"/>
              </w:rPr>
              <w:t xml:space="preserve">3</w:t>
            </w:r>
          </w:p>
        </w:tc>
        <w:tc>
          <w:tcPr>
            <w:tcW w:type="dxa" w:w="7452"/>
          </w:tcPr>
          <w:p>
            <w:pPr>
              <w:pStyle w:val="BodyText"/>
              <w:keepNext w:val="0"/>
              <w:spacing w:after="80" w:line="252" w:lineRule="auto"/>
              <w:jc w:val="left"/>
            </w:pPr>
            <w:r>
              <w:rPr>
                <w:rFonts w:ascii="Calibri" w:hAnsi="Calibri"/>
                <w:sz w:val="17"/>
              </w:rPr>
              <w:t xml:space="preserve">g → A</w:t>
            </w:r>
          </w:p>
        </w:tc>
      </w:tr>
    </w:tbl>
    <w:p>
      <w:pPr>
        <w:pStyle w:val="BodyText"/>
      </w:pPr>
      <w:r>
        <w:t xml:space="preserve">Every admitted situation contains A. The source stays unbounded and noncomposite; A is finite and source-dependent. Non-exhaustion holds, but A has no accessible absence. This checked sparse interpretation satisfies the original nine clauses.</w:t>
      </w:r>
    </w:p>
    <w:bookmarkEnd w:id="183"/>
    <w:bookmarkStart w:id="184" w:name="X2f9e3197013277bf1c7748a321097405e0da345"/>
    <w:p>
      <w:pPr>
        <w:pStyle w:val="Heading4"/>
      </w:pPr>
      <w:r>
        <w:t xml:space="preserve">Different whole orders; one common necessary effect</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Alternative</w:t>
            </w:r>
          </w:p>
        </w:tc>
        <w:tc>
          <w:tcPr>
            <w:tcW w:type="dxa" w:w="7452"/>
            <w:shd w:fill="EAE5DA"/>
          </w:tcPr>
          <w:p>
            <w:pPr>
              <w:pStyle w:val="BodyText"/>
              <w:keepNext w:val="0"/>
              <w:spacing w:after="80" w:line="252" w:lineRule="auto"/>
              <w:jc w:val="left"/>
            </w:pPr>
            <w:r>
              <w:rPr>
                <w:rFonts w:ascii="Calibri" w:hAnsi="Calibri"/>
                <w:b/>
                <w:sz w:val="17"/>
              </w:rPr>
              <w:t xml:space="preserve">Assigned world label</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g → {a,b}</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g → {a,c}</w:t>
            </w:r>
          </w:p>
        </w:tc>
      </w:tr>
    </w:tbl>
    <w:p>
      <w:pPr>
        <w:pStyle w:val="BodyText"/>
      </w:pPr>
      <w:r>
        <w:t xml:space="preserve">These worlds differ, but a appears in both. Different created orders do not establish contingency of every finite expression. The original source profile can hold in both.</w:t>
      </w:r>
    </w:p>
    <w:bookmarkEnd w:id="184"/>
    <w:bookmarkStart w:id="185" w:name="a-live-no-creation-alternative"/>
    <w:p>
      <w:pPr>
        <w:pStyle w:val="Heading4"/>
      </w:pPr>
      <w:r>
        <w:t xml:space="preserve">A live no-creation alternative</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Alternative</w:t>
            </w:r>
          </w:p>
        </w:tc>
        <w:tc>
          <w:tcPr>
            <w:tcW w:type="dxa" w:w="7452"/>
            <w:shd w:fill="EAE5DA"/>
          </w:tcPr>
          <w:p>
            <w:pPr>
              <w:pStyle w:val="BodyText"/>
              <w:keepNext w:val="0"/>
              <w:spacing w:after="80" w:line="252" w:lineRule="auto"/>
              <w:jc w:val="left"/>
            </w:pPr>
            <w:r>
              <w:rPr>
                <w:rFonts w:ascii="Calibri" w:hAnsi="Calibri"/>
                <w:b/>
                <w:sz w:val="17"/>
              </w:rPr>
              <w:t xml:space="preserve">Assigned world label</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g → A</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g → B</w:t>
            </w:r>
          </w:p>
        </w:tc>
      </w:tr>
      <w:tr>
        <w:tc>
          <w:tcPr>
            <w:tcW w:type="dxa" w:w="2484"/>
          </w:tcPr>
          <w:p>
            <w:pPr>
              <w:pStyle w:val="BodyText"/>
              <w:keepNext w:val="0"/>
              <w:spacing w:after="80" w:line="252" w:lineRule="auto"/>
              <w:jc w:val="left"/>
            </w:pPr>
            <w:r>
              <w:rPr>
                <w:rFonts w:ascii="Calibri" w:hAnsi="Calibri"/>
                <w:sz w:val="17"/>
              </w:rPr>
              <w:t xml:space="preserve">3</w:t>
            </w:r>
          </w:p>
        </w:tc>
        <w:tc>
          <w:tcPr>
            <w:tcW w:type="dxa" w:w="7452"/>
          </w:tcPr>
          <w:p>
            <w:pPr>
              <w:pStyle w:val="BodyText"/>
              <w:keepNext w:val="0"/>
              <w:spacing w:after="80" w:line="252" w:lineRule="auto"/>
              <w:jc w:val="left"/>
            </w:pPr>
            <w:r>
              <w:rPr>
                <w:rFonts w:ascii="Calibri" w:hAnsi="Calibri"/>
                <w:sz w:val="17"/>
              </w:rPr>
              <w:t xml:space="preserve">g alone</w:t>
            </w:r>
          </w:p>
        </w:tc>
      </w:tr>
    </w:tbl>
    <w:p>
      <w:pPr>
        <w:pStyle w:val="BodyText"/>
      </w:pPr>
      <w:r>
        <w:t xml:space="preserve">No created effect appears in the final admitted situation. This stronger stipulated modal extension supplies omissions of both A and B. Its semantic consistency is checked; its metaphysical possibility must still be independently warranted.</w:t>
      </w:r>
    </w:p>
    <w:p>
      <w:pPr>
        <w:pStyle w:val="BodyText"/>
      </w:pPr>
      <w:r>
        <w:t xml:space="preserve">An alternate route discovered in the audit: in the sparse domain where every actual other is created, a no-creation world has no proper source constituents. If X preserves the entire constituent profile across all alternatives, noncomposition follows elsewhere too. This does not prove KD for all composites; it shows why deletion must check for retained substitutes.</w:t>
      </w:r>
    </w:p>
    <w:bookmarkEnd w:id="185"/>
    <w:bookmarkEnd w:id="186"/>
    <w:bookmarkEnd w:id="187"/>
    <w:p>
      <w:pPr>
        <w:pStyle w:val="Heading1"/>
      </w:pPr>
      <w:r>
        <w:t xml:space="preserve">Appendix A — beyond-report.md</w:t>
      </w:r>
    </w:p>
    <w:p>
      <w:pPr>
        <w:pStyle w:val="FirstParagraph"/>
      </w:pPr>
      <w:r>
        <w:t xml:space="preserve">Original research file: https:/​/​participation-​6o4.​pages.​dev/​research/​beyond-​report.​md</w:t>
      </w:r>
    </w:p>
    <w:bookmarkStart w:id="209" w:name="Xe03c05280ee618058fb3d120ec70b7c92343db0"/>
    <w:p>
      <w:pPr>
        <w:pStyle w:val="Heading2"/>
      </w:pPr>
      <w:r>
        <w:t xml:space="preserve">Beyond Participation: Divine Simplicity and Freedom</w:t>
      </w:r>
    </w:p>
    <w:p>
      <w:pPr>
        <w:pStyle w:val="FirstParagraph"/>
      </w:pPr>
      <w:r>
        <w:t xml:space="preserve">A constructive, conditional research synthesis with independently identified questions about action and knowledge. The starting claims about the source are assumed; they are not a proof of its existence.</w:t>
      </w:r>
    </w:p>
    <w:p>
      <w:pPr>
        <w:pStyle w:val="BlockText"/>
      </w:pPr>
      <w:r>
        <w:t xml:space="preserve">What would establish that an underived source is simple without being empty, and freely knows and causes this creation without receiving perfection from it? Which further principle would explain different complete creative actions if the source’s intrinsic actuality remains the same?</w:t>
      </w:r>
    </w:p>
    <w:bookmarkStart w:id="188" w:name="a-second-inquiry.-a-different-burden."/>
    <w:p>
      <w:pPr>
        <w:pStyle w:val="Heading3"/>
      </w:pPr>
      <w:r>
        <w:t xml:space="preserve">00 / A second inquiry. A different burden.</w:t>
      </w:r>
    </w:p>
    <w:p>
      <w:pPr>
        <w:pStyle w:val="FirstParagraph"/>
      </w:pPr>
      <w:r>
        <w:rPr>
          <w:b/>
          <w:bCs/>
        </w:rPr>
        <w:t xml:space="preserve">Status:</w:t>
      </w:r>
      <w:r>
        <w:t xml:space="preserve"> </w:t>
      </w:r>
      <w:r>
        <w:t xml:space="preserve">Conditional starting point.</w:t>
      </w:r>
    </w:p>
    <w:p>
      <w:pPr>
        <w:pStyle w:val="BodyText"/>
      </w:pPr>
      <w:r>
        <w:t xml:space="preserve">Participation concerns real received possession. This inquiry asks what further arguments would establish a simple, intelligent source whose creative action is genuinely free.</w:t>
      </w:r>
    </w:p>
    <w:p>
      <w:pPr>
        <w:pStyle w:val="BodyText"/>
      </w:pPr>
      <w:r>
        <w:t xml:space="preserve">A creature can possess received actuality without being a piece of its source. The first investigation explained this through explicit causal, qualitative, and constitutive premises. It adopted an underived, unlimited source; it did not prove the whole doctrine of God from participation. Its relevant subtheorem is exact: if proper intrinsic constituents ground a whole’s actuality, an absolutely underived source has no such constituents.</w:t>
      </w:r>
    </w:p>
    <w:p>
      <w:pPr>
        <w:pStyle w:val="BodyText"/>
      </w:pPr>
      <w:r>
        <w:t xml:space="preserve">The broader simplicity inquiry asks what could still make that source actual, one, existent, determinate, or perfect. Its six classical accomplishments examine different kinds of proposed conditioning. They form a cumulative case with substantive metaphysical premises. They do not identify every distinction with a part, or every source-relative fact with an acquired divine perfection.</w:t>
      </w:r>
    </w:p>
    <w:p>
      <w:pPr>
        <w:pStyle w:val="BodyText"/>
      </w:pPr>
      <w:r>
        <w:t xml:space="preserve">The positive aim matters just as much. Being determinate is different from being made determinate by something more basic. If wisdom belongs to the source, simplicity asks how it belongs without an added actualizer. Wisdom and power can differ in meaning while having one concrete divine realization. That possibility preserves meaningful predication; the actual possession of each perfection still needs its own argument.</w:t>
      </w:r>
    </w:p>
    <w:p>
      <w:pPr>
        <w:pStyle w:val="BodyText"/>
      </w:pPr>
      <w:r>
        <w:t xml:space="preserve">Freedom raises another question. A source could remain undivided and inexhaustible while necessarily producing one finite cosmos. A philosophy of creative agency must distinguish possible alternatives, reasons for giving, the agent’s actual choice, and its successful execution. An intention’s infallible execution does not make the intention itself necessary.</w:t>
      </w:r>
    </w:p>
    <w:p>
      <w:pPr>
        <w:pStyle w:val="BodyText"/>
      </w:pPr>
      <w:r>
        <w:t xml:space="preserve">The constructive proposal treats a complete creative action as intentionally directed toward its effect. The source originates that direction; the finished world does not retrospectively supply it. The difficult claim is that different complete actions can differ relationally without requiring different intrinsic divine actualities. Noncomposition alone does not establish this stronger account.</w:t>
      </w:r>
    </w:p>
    <w:p>
      <w:pPr>
        <w:pStyle w:val="BodyText"/>
      </w:pPr>
      <w:r>
        <w:t xml:space="preserve">Knowledge adds a further requirement: an intelligent source must know its actual action and what that action accomplishes, not merely every possible plan. Productive knowledge explains a created effect through the agent’s warranted awareness of its efficacious intention. Its scope extends only as far as that awareness adequately discloses the effect.</w:t>
      </w:r>
    </w:p>
    <w:p>
      <w:pPr>
        <w:pStyle w:val="BodyText"/>
      </w:pPr>
      <w:r>
        <w:t xml:space="preserve">The historical resources are exemplary at different joints. Aquinas and Anselm sharpen constitution and rational action; Scotus sharpens live contingency; Augustine and Maximus connect exemplar intelligence with determinate possibilities; Dionysius, Bonaventure, Nyssa, Eriugena, and Przywara preserve communication without exhaustion. Newman supplies an analogical test of continuity. The final synthesis is ours: its value depends on what its bridges explain and which rivals they actually exclude.</w:t>
      </w:r>
    </w:p>
    <w:bookmarkEnd w:id="188"/>
    <w:bookmarkStart w:id="189" w:name="what-part-i-actually-gives-us."/>
    <w:p>
      <w:pPr>
        <w:pStyle w:val="Heading3"/>
      </w:pPr>
      <w:r>
        <w:t xml:space="preserve">01 / What Part I actually gives us.</w:t>
      </w:r>
    </w:p>
    <w:p>
      <w:pPr>
        <w:pStyle w:val="FirstParagraph"/>
      </w:pPr>
      <w:r>
        <w:rPr>
          <w:b/>
          <w:bCs/>
        </w:rPr>
        <w:t xml:space="preserve">Status:</w:t>
      </w:r>
      <w:r>
        <w:t xml:space="preserve"> </w:t>
      </w:r>
      <w:r>
        <w:t xml:space="preserve">Inherited premises.</w:t>
      </w:r>
    </w:p>
    <w:p>
      <w:pPr>
        <w:pStyle w:val="BodyText"/>
      </w:pPr>
      <w:r>
        <w:t xml:space="preserve">Inherited results retain their premises. The source’s existence, universality, and positive perfections require arguments beyond the participation model.</w:t>
      </w:r>
    </w:p>
    <w:p>
      <w:pPr>
        <w:pStyle w:val="BodyText"/>
      </w:pPr>
      <w:r>
        <w:t xml:space="preserve">G and CP yield present created dependence; Q supplies the qualitative bridge required for causal likeness; U excludes constitutive grounding of the source. KD + U yield noncomposition. KH + FS + FC exclude the unlimited source as a constituent of bounded created actuality. Each conclusion answers a particular question. Dependence does not supply likeness, and likeness does not establish identity.</w:t>
      </w:r>
    </w:p>
    <w:p>
      <w:pPr>
        <w:pStyle w:val="BodyText"/>
      </w:pPr>
      <w:r>
        <w:t xml:space="preserve">A local underived ground would not yet establish one universal source. That ascent needs explanatory completion, an argument about the scope of existential dependence, and a separate uniqueness argument. This page inherits the universal source profile to investigate its implications. It neither proves that ascent nor treats</w:t>
      </w:r>
      <w:r>
        <w:t xml:space="preserve"> </w:t>
      </w:r>
      <w:r>
        <w:t xml:space="preserve">“</w:t>
      </w:r>
      <w:r>
        <w:t xml:space="preserve">source</w:t>
      </w:r>
      <w:r>
        <w:t xml:space="preserve">”</w:t>
      </w:r>
      <w:r>
        <w:t xml:space="preserve"> </w:t>
      </w:r>
      <w:r>
        <w:t xml:space="preserve">as a definition containing its conclusion.</w:t>
      </w:r>
    </w:p>
    <w:p>
      <w:pPr>
        <w:pStyle w:val="BodyText"/>
      </w:pPr>
      <w:r>
        <w:t xml:space="preserve">X is stronger than noncomposition: the source’s intrinsic actuality remains the same across the possible created outcomes being considered. An intrinsic property could vary between possible worlds without being a part or being acquired in time. X excludes that variation, but supplies neither possible alternatives nor the actual direction of the source’s intention.</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Premises</w:t>
            </w:r>
          </w:p>
        </w:tc>
        <w:tc>
          <w:tcPr>
            <w:tcW w:type="dxa" w:w="2749"/>
            <w:shd w:fill="EAE5DA"/>
          </w:tcPr>
          <w:p>
            <w:pPr>
              <w:pStyle w:val="BodyText"/>
              <w:keepNext w:val="0"/>
              <w:spacing w:after="80" w:line="252" w:lineRule="auto"/>
              <w:jc w:val="left"/>
            </w:pPr>
            <w:r>
              <w:rPr>
                <w:rFonts w:ascii="Calibri" w:hAnsi="Calibri"/>
                <w:b/>
                <w:sz w:val="17"/>
              </w:rPr>
              <w:t xml:space="preserve">Claim</w:t>
            </w:r>
          </w:p>
        </w:tc>
        <w:tc>
          <w:tcPr>
            <w:tcW w:type="dxa" w:w="2749"/>
            <w:shd w:fill="EAE5DA"/>
          </w:tcPr>
          <w:p>
            <w:pPr>
              <w:pStyle w:val="BodyText"/>
              <w:keepNext w:val="0"/>
              <w:spacing w:after="80" w:line="252" w:lineRule="auto"/>
              <w:jc w:val="left"/>
            </w:pPr>
            <w:r>
              <w:rPr>
                <w:rFonts w:ascii="Calibri" w:hAnsi="Calibri"/>
                <w:b/>
                <w:sz w:val="17"/>
              </w:rPr>
              <w:t xml:space="preserve">Status</w:t>
            </w:r>
          </w:p>
        </w:tc>
        <w:tc>
          <w:tcPr>
            <w:tcW w:type="dxa" w:w="2749"/>
            <w:shd w:fill="EAE5DA"/>
          </w:tcPr>
          <w:p>
            <w:pPr>
              <w:pStyle w:val="BodyText"/>
              <w:keepNext w:val="0"/>
              <w:spacing w:after="80" w:line="252" w:lineRule="auto"/>
              <w:jc w:val="left"/>
            </w:pPr>
            <w:r>
              <w:rPr>
                <w:rFonts w:ascii="Calibri" w:hAnsi="Calibri"/>
                <w:b/>
                <w:sz w:val="17"/>
              </w:rPr>
              <w:t xml:space="preserve">Boundary</w:t>
            </w:r>
          </w:p>
        </w:tc>
      </w:tr>
      <w:tr>
        <w:tc>
          <w:tcPr>
            <w:tcW w:type="dxa" w:w="1689"/>
          </w:tcPr>
          <w:p>
            <w:pPr>
              <w:pStyle w:val="BodyText"/>
              <w:keepNext w:val="0"/>
              <w:spacing w:after="80" w:line="252" w:lineRule="auto"/>
              <w:jc w:val="left"/>
            </w:pPr>
            <w:r>
              <w:rPr>
                <w:rFonts w:ascii="Calibri" w:hAnsi="Calibri"/>
                <w:sz w:val="17"/>
              </w:rPr>
              <w:t xml:space="preserve">G + CP</w:t>
            </w:r>
          </w:p>
        </w:tc>
        <w:tc>
          <w:tcPr>
            <w:tcW w:type="dxa" w:w="2749"/>
          </w:tcPr>
          <w:p>
            <w:pPr>
              <w:pStyle w:val="BodyText"/>
              <w:keepNext w:val="0"/>
              <w:spacing w:after="80" w:line="252" w:lineRule="auto"/>
              <w:jc w:val="left"/>
            </w:pPr>
            <w:r>
              <w:rPr>
                <w:rFonts w:ascii="Calibri" w:hAnsi="Calibri"/>
                <w:sz w:val="17"/>
              </w:rPr>
              <w:t xml:space="preserve">Present source dependence</w:t>
            </w:r>
          </w:p>
        </w:tc>
        <w:tc>
          <w:tcPr>
            <w:tcW w:type="dxa" w:w="2749"/>
          </w:tcPr>
          <w:p>
            <w:pPr>
              <w:pStyle w:val="BodyText"/>
              <w:keepNext w:val="0"/>
              <w:spacing w:after="80" w:line="252" w:lineRule="auto"/>
              <w:jc w:val="left"/>
            </w:pPr>
            <w:r>
              <w:rPr>
                <w:rFonts w:ascii="Calibri" w:hAnsi="Calibri"/>
                <w:sz w:val="17"/>
              </w:rPr>
              <w:t xml:space="preserve">Inherited premises</w:t>
            </w:r>
          </w:p>
        </w:tc>
        <w:tc>
          <w:tcPr>
            <w:tcW w:type="dxa" w:w="2749"/>
          </w:tcPr>
          <w:p>
            <w:pPr>
              <w:pStyle w:val="BodyText"/>
              <w:keepNext w:val="0"/>
              <w:spacing w:after="80" w:line="252" w:lineRule="auto"/>
              <w:jc w:val="left"/>
            </w:pPr>
            <w:r>
              <w:rPr>
                <w:rFonts w:ascii="Calibri" w:hAnsi="Calibri"/>
                <w:sz w:val="17"/>
              </w:rPr>
              <w:t xml:space="preserve">Universal sourcing and causal dependence are adopted, not proved by</w:t>
            </w:r>
            <w:r>
              <w:rPr>
                <w:rFonts w:ascii="Calibri" w:hAnsi="Calibri"/>
                <w:sz w:val="17"/>
              </w:rPr>
              <w:t xml:space="preserve"> </w:t>
            </w:r>
            <w:r>
              <w:rPr>
                <w:rFonts w:ascii="Calibri" w:hAnsi="Calibri"/>
                <w:sz w:val="17"/>
              </w:rPr>
              <w:t xml:space="preserve">“</w:t>
            </w:r>
            <w:r>
              <w:rPr>
                <w:rFonts w:ascii="Calibri" w:hAnsi="Calibri"/>
                <w:sz w:val="17"/>
              </w:rPr>
              <w:t xml:space="preserve">participation.</w:t>
            </w:r>
            <w:r>
              <w:rPr>
                <w:rFonts w:ascii="Calibri" w:hAnsi="Calibri"/>
                <w:sz w:val="17"/>
              </w:rPr>
              <w:t xml:space="preserve">”</w:t>
            </w:r>
          </w:p>
        </w:tc>
      </w:tr>
      <w:tr>
        <w:tc>
          <w:tcPr>
            <w:tcW w:type="dxa" w:w="1689"/>
          </w:tcPr>
          <w:p>
            <w:pPr>
              <w:pStyle w:val="BodyText"/>
              <w:keepNext w:val="0"/>
              <w:spacing w:after="80" w:line="252" w:lineRule="auto"/>
              <w:jc w:val="left"/>
            </w:pPr>
            <w:r>
              <w:rPr>
                <w:rFonts w:ascii="Calibri" w:hAnsi="Calibri"/>
                <w:sz w:val="17"/>
              </w:rPr>
              <w:t xml:space="preserve">Q</w:t>
            </w:r>
          </w:p>
        </w:tc>
        <w:tc>
          <w:tcPr>
            <w:tcW w:type="dxa" w:w="2749"/>
          </w:tcPr>
          <w:p>
            <w:pPr>
              <w:pStyle w:val="BodyText"/>
              <w:keepNext w:val="0"/>
              <w:spacing w:after="80" w:line="252" w:lineRule="auto"/>
              <w:jc w:val="left"/>
            </w:pPr>
            <w:r>
              <w:rPr>
                <w:rFonts w:ascii="Calibri" w:hAnsi="Calibri"/>
                <w:sz w:val="17"/>
              </w:rPr>
              <w:t xml:space="preserve">Positive causal likeness</w:t>
            </w:r>
          </w:p>
        </w:tc>
        <w:tc>
          <w:tcPr>
            <w:tcW w:type="dxa" w:w="2749"/>
          </w:tcPr>
          <w:p>
            <w:pPr>
              <w:pStyle w:val="BodyText"/>
              <w:keepNext w:val="0"/>
              <w:spacing w:after="80" w:line="252" w:lineRule="auto"/>
              <w:jc w:val="left"/>
            </w:pPr>
            <w:r>
              <w:rPr>
                <w:rFonts w:ascii="Calibri" w:hAnsi="Calibri"/>
                <w:sz w:val="17"/>
              </w:rPr>
              <w:t xml:space="preserve">Inherited bridge</w:t>
            </w:r>
          </w:p>
        </w:tc>
        <w:tc>
          <w:tcPr>
            <w:tcW w:type="dxa" w:w="2749"/>
          </w:tcPr>
          <w:p>
            <w:pPr>
              <w:pStyle w:val="BodyText"/>
              <w:keepNext w:val="0"/>
              <w:spacing w:after="80" w:line="252" w:lineRule="auto"/>
              <w:jc w:val="left"/>
            </w:pPr>
            <w:r>
              <w:rPr>
                <w:rFonts w:ascii="Calibri" w:hAnsi="Calibri"/>
                <w:sz w:val="17"/>
              </w:rPr>
              <w:t xml:space="preserve">Does not turn efficient causation alone into resemblance.</w:t>
            </w:r>
          </w:p>
        </w:tc>
      </w:tr>
      <w:tr>
        <w:tc>
          <w:tcPr>
            <w:tcW w:type="dxa" w:w="1689"/>
          </w:tcPr>
          <w:p>
            <w:pPr>
              <w:pStyle w:val="BodyText"/>
              <w:keepNext w:val="0"/>
              <w:spacing w:after="80" w:line="252" w:lineRule="auto"/>
              <w:jc w:val="left"/>
            </w:pPr>
            <w:r>
              <w:rPr>
                <w:rFonts w:ascii="Calibri" w:hAnsi="Calibri"/>
                <w:sz w:val="17"/>
              </w:rPr>
              <w:t xml:space="preserve">U + KD</w:t>
            </w:r>
          </w:p>
        </w:tc>
        <w:tc>
          <w:tcPr>
            <w:tcW w:type="dxa" w:w="2749"/>
          </w:tcPr>
          <w:p>
            <w:pPr>
              <w:pStyle w:val="BodyText"/>
              <w:keepNext w:val="0"/>
              <w:spacing w:after="80" w:line="252" w:lineRule="auto"/>
              <w:jc w:val="left"/>
            </w:pPr>
            <w:r>
              <w:rPr>
                <w:rFonts w:ascii="Calibri" w:hAnsi="Calibri"/>
                <w:sz w:val="17"/>
              </w:rPr>
              <w:t xml:space="preserve">No proper intrinsic source constituents</w:t>
            </w:r>
          </w:p>
        </w:tc>
        <w:tc>
          <w:tcPr>
            <w:tcW w:type="dxa" w:w="2749"/>
          </w:tcPr>
          <w:p>
            <w:pPr>
              <w:pStyle w:val="BodyText"/>
              <w:keepNext w:val="0"/>
              <w:spacing w:after="80" w:line="252" w:lineRule="auto"/>
              <w:jc w:val="left"/>
            </w:pPr>
            <w:r>
              <w:rPr>
                <w:rFonts w:ascii="Calibri" w:hAnsi="Calibri"/>
                <w:sz w:val="17"/>
              </w:rPr>
              <w:t xml:space="preserve">Conditional result</w:t>
            </w:r>
          </w:p>
        </w:tc>
        <w:tc>
          <w:tcPr>
            <w:tcW w:type="dxa" w:w="2749"/>
          </w:tcPr>
          <w:p>
            <w:pPr>
              <w:pStyle w:val="BodyText"/>
              <w:keepNext w:val="0"/>
              <w:spacing w:after="80" w:line="252" w:lineRule="auto"/>
              <w:jc w:val="left"/>
            </w:pPr>
            <w:r>
              <w:rPr>
                <w:rFonts w:ascii="Calibri" w:hAnsi="Calibri"/>
                <w:sz w:val="17"/>
              </w:rPr>
              <w:t xml:space="preserve">KD’s constitution–dependence principle remains a philosophical burden.</w:t>
            </w:r>
          </w:p>
        </w:tc>
      </w:tr>
      <w:tr>
        <w:tc>
          <w:tcPr>
            <w:tcW w:type="dxa" w:w="1689"/>
          </w:tcPr>
          <w:p>
            <w:pPr>
              <w:pStyle w:val="BodyText"/>
              <w:keepNext w:val="0"/>
              <w:spacing w:after="80" w:line="252" w:lineRule="auto"/>
              <w:jc w:val="left"/>
            </w:pPr>
            <w:r>
              <w:rPr>
                <w:rFonts w:ascii="Calibri" w:hAnsi="Calibri"/>
                <w:sz w:val="17"/>
              </w:rPr>
              <w:t xml:space="preserve">KH + FS + FC</w:t>
            </w:r>
          </w:p>
        </w:tc>
        <w:tc>
          <w:tcPr>
            <w:tcW w:type="dxa" w:w="2749"/>
          </w:tcPr>
          <w:p>
            <w:pPr>
              <w:pStyle w:val="BodyText"/>
              <w:keepNext w:val="0"/>
              <w:spacing w:after="80" w:line="252" w:lineRule="auto"/>
              <w:jc w:val="left"/>
            </w:pPr>
            <w:r>
              <w:rPr>
                <w:rFonts w:ascii="Calibri" w:hAnsi="Calibri"/>
                <w:sz w:val="17"/>
              </w:rPr>
              <w:t xml:space="preserve">Source is no finite creature’s constituent</w:t>
            </w:r>
          </w:p>
        </w:tc>
        <w:tc>
          <w:tcPr>
            <w:tcW w:type="dxa" w:w="2749"/>
          </w:tcPr>
          <w:p>
            <w:pPr>
              <w:pStyle w:val="BodyText"/>
              <w:keepNext w:val="0"/>
              <w:spacing w:after="80" w:line="252" w:lineRule="auto"/>
              <w:jc w:val="left"/>
            </w:pPr>
            <w:r>
              <w:rPr>
                <w:rFonts w:ascii="Calibri" w:hAnsi="Calibri"/>
                <w:sz w:val="17"/>
              </w:rPr>
              <w:t xml:space="preserve">Conditional result</w:t>
            </w:r>
          </w:p>
        </w:tc>
        <w:tc>
          <w:tcPr>
            <w:tcW w:type="dxa" w:w="2749"/>
          </w:tcPr>
          <w:p>
            <w:pPr>
              <w:pStyle w:val="BodyText"/>
              <w:keepNext w:val="0"/>
              <w:spacing w:after="80" w:line="252" w:lineRule="auto"/>
              <w:jc w:val="left"/>
            </w:pPr>
            <w:r>
              <w:rPr>
                <w:rFonts w:ascii="Calibri" w:hAnsi="Calibri"/>
                <w:sz w:val="17"/>
              </w:rPr>
              <w:t xml:space="preserve">Different from merely saying that God has no parts.</w:t>
            </w:r>
          </w:p>
        </w:tc>
      </w:tr>
      <w:tr>
        <w:tc>
          <w:tcPr>
            <w:tcW w:type="dxa" w:w="1689"/>
          </w:tcPr>
          <w:p>
            <w:pPr>
              <w:pStyle w:val="BodyText"/>
              <w:keepNext w:val="0"/>
              <w:spacing w:after="80" w:line="252" w:lineRule="auto"/>
              <w:jc w:val="left"/>
            </w:pPr>
            <w:r>
              <w:rPr>
                <w:rFonts w:ascii="Calibri" w:hAnsi="Calibri"/>
                <w:sz w:val="17"/>
              </w:rPr>
              <w:t xml:space="preserve">FS / FC</w:t>
            </w:r>
          </w:p>
        </w:tc>
        <w:tc>
          <w:tcPr>
            <w:tcW w:type="dxa" w:w="2749"/>
          </w:tcPr>
          <w:p>
            <w:pPr>
              <w:pStyle w:val="BodyText"/>
              <w:keepNext w:val="0"/>
              <w:spacing w:after="80" w:line="252" w:lineRule="auto"/>
              <w:jc w:val="left"/>
            </w:pPr>
            <w:r>
              <w:rPr>
                <w:rFonts w:ascii="Calibri" w:hAnsi="Calibri"/>
                <w:sz w:val="17"/>
              </w:rPr>
              <w:t xml:space="preserve">Unbounded source / bounded created actuality</w:t>
            </w:r>
          </w:p>
        </w:tc>
        <w:tc>
          <w:tcPr>
            <w:tcW w:type="dxa" w:w="2749"/>
          </w:tcPr>
          <w:p>
            <w:pPr>
              <w:pStyle w:val="BodyText"/>
              <w:keepNext w:val="0"/>
              <w:spacing w:after="80" w:line="252" w:lineRule="auto"/>
              <w:jc w:val="left"/>
            </w:pPr>
            <w:r>
              <w:rPr>
                <w:rFonts w:ascii="Calibri" w:hAnsi="Calibri"/>
                <w:sz w:val="17"/>
              </w:rPr>
              <w:t xml:space="preserve">Inherited profile</w:t>
            </w:r>
          </w:p>
        </w:tc>
        <w:tc>
          <w:tcPr>
            <w:tcW w:type="dxa" w:w="2749"/>
          </w:tcPr>
          <w:p>
            <w:pPr>
              <w:pStyle w:val="BodyText"/>
              <w:keepNext w:val="0"/>
              <w:spacing w:after="80" w:line="252" w:lineRule="auto"/>
              <w:jc w:val="left"/>
            </w:pPr>
            <w:r>
              <w:rPr>
                <w:rFonts w:ascii="Calibri" w:hAnsi="Calibri"/>
                <w:sz w:val="17"/>
              </w:rPr>
              <w:t xml:space="preserve">Respect e; unlimited intellect requires another argument.</w:t>
            </w:r>
          </w:p>
        </w:tc>
      </w:tr>
      <w:tr>
        <w:tc>
          <w:tcPr>
            <w:tcW w:type="dxa" w:w="1689"/>
          </w:tcPr>
          <w:p>
            <w:pPr>
              <w:pStyle w:val="BodyText"/>
              <w:keepNext w:val="0"/>
              <w:spacing w:after="80" w:line="252" w:lineRule="auto"/>
              <w:jc w:val="left"/>
            </w:pPr>
            <w:r>
              <w:rPr>
                <w:rFonts w:ascii="Calibri" w:hAnsi="Calibri"/>
                <w:sz w:val="17"/>
              </w:rPr>
              <w:t xml:space="preserve">X</w:t>
            </w:r>
          </w:p>
        </w:tc>
        <w:tc>
          <w:tcPr>
            <w:tcW w:type="dxa" w:w="2749"/>
          </w:tcPr>
          <w:p>
            <w:pPr>
              <w:pStyle w:val="BodyText"/>
              <w:keepNext w:val="0"/>
              <w:spacing w:after="80" w:line="252" w:lineRule="auto"/>
              <w:jc w:val="left"/>
            </w:pPr>
            <w:r>
              <w:rPr>
                <w:rFonts w:ascii="Calibri" w:hAnsi="Calibri"/>
                <w:sz w:val="17"/>
              </w:rPr>
              <w:t xml:space="preserve">Same intrinsic actuality across possible outcomes</w:t>
            </w:r>
          </w:p>
        </w:tc>
        <w:tc>
          <w:tcPr>
            <w:tcW w:type="dxa" w:w="2749"/>
          </w:tcPr>
          <w:p>
            <w:pPr>
              <w:pStyle w:val="BodyText"/>
              <w:keepNext w:val="0"/>
              <w:spacing w:after="80" w:line="252" w:lineRule="auto"/>
              <w:jc w:val="left"/>
            </w:pPr>
            <w:r>
              <w:rPr>
                <w:rFonts w:ascii="Calibri" w:hAnsi="Calibri"/>
                <w:sz w:val="17"/>
              </w:rPr>
              <w:t xml:space="preserve">Inherited extension</w:t>
            </w:r>
          </w:p>
        </w:tc>
        <w:tc>
          <w:tcPr>
            <w:tcW w:type="dxa" w:w="2749"/>
          </w:tcPr>
          <w:p>
            <w:pPr>
              <w:pStyle w:val="BodyText"/>
              <w:keepNext w:val="0"/>
              <w:spacing w:after="80" w:line="252" w:lineRule="auto"/>
              <w:jc w:val="left"/>
            </w:pPr>
            <w:r>
              <w:rPr>
                <w:rFonts w:ascii="Calibri" w:hAnsi="Calibri"/>
                <w:sz w:val="17"/>
              </w:rPr>
              <w:t xml:space="preserve">Does not establish those alternatives or explain a particular intention.</w:t>
            </w:r>
          </w:p>
        </w:tc>
      </w:tr>
      <w:tr>
        <w:tc>
          <w:tcPr>
            <w:tcW w:type="dxa" w:w="1689"/>
          </w:tcPr>
          <w:p>
            <w:pPr>
              <w:pStyle w:val="BodyText"/>
              <w:keepNext w:val="0"/>
              <w:spacing w:after="80" w:line="252" w:lineRule="auto"/>
              <w:jc w:val="left"/>
            </w:pPr>
            <w:r>
              <w:rPr>
                <w:rFonts w:ascii="Calibri" w:hAnsi="Calibri"/>
                <w:sz w:val="17"/>
              </w:rPr>
              <w:t xml:space="preserve">V / W</w:t>
            </w:r>
          </w:p>
        </w:tc>
        <w:tc>
          <w:tcPr>
            <w:tcW w:type="dxa" w:w="2749"/>
          </w:tcPr>
          <w:p>
            <w:pPr>
              <w:pStyle w:val="BodyText"/>
              <w:keepNext w:val="0"/>
              <w:spacing w:after="80" w:line="252" w:lineRule="auto"/>
              <w:jc w:val="left"/>
            </w:pPr>
            <w:r>
              <w:rPr>
                <w:rFonts w:ascii="Calibri" w:hAnsi="Calibri"/>
                <w:sz w:val="17"/>
              </w:rPr>
              <w:t xml:space="preserve">No-creation alternatives / intelligent selection</w:t>
            </w:r>
          </w:p>
        </w:tc>
        <w:tc>
          <w:tcPr>
            <w:tcW w:type="dxa" w:w="2749"/>
          </w:tcPr>
          <w:p>
            <w:pPr>
              <w:pStyle w:val="BodyText"/>
              <w:keepNext w:val="0"/>
              <w:spacing w:after="80" w:line="252" w:lineRule="auto"/>
              <w:jc w:val="left"/>
            </w:pPr>
            <w:r>
              <w:rPr>
                <w:rFonts w:ascii="Calibri" w:hAnsi="Calibri"/>
                <w:sz w:val="17"/>
              </w:rPr>
              <w:t xml:space="preserve">Earlier optional extensions</w:t>
            </w:r>
          </w:p>
        </w:tc>
        <w:tc>
          <w:tcPr>
            <w:tcW w:type="dxa" w:w="2749"/>
          </w:tcPr>
          <w:p>
            <w:pPr>
              <w:pStyle w:val="BodyText"/>
              <w:keepNext w:val="0"/>
              <w:spacing w:after="80" w:line="252" w:lineRule="auto"/>
              <w:jc w:val="left"/>
            </w:pPr>
            <w:r>
              <w:rPr>
                <w:rFonts w:ascii="Calibri" w:hAnsi="Calibri"/>
                <w:sz w:val="17"/>
              </w:rPr>
              <w:t xml:space="preserve">They remain added commitments to be analyzed here.</w:t>
            </w:r>
          </w:p>
        </w:tc>
      </w:tr>
    </w:tbl>
    <w:bookmarkEnd w:id="189"/>
    <w:bookmarkStart w:id="190" w:name="X2e2625d6932b7f6700577eddfcdfd4192b7e536"/>
    <w:p>
      <w:pPr>
        <w:pStyle w:val="Heading3"/>
      </w:pPr>
      <w:r>
        <w:t xml:space="preserve">02 / Simplicity excludes conditioning. It preserves fullness.</w:t>
      </w:r>
    </w:p>
    <w:p>
      <w:pPr>
        <w:pStyle w:val="FirstParagraph"/>
      </w:pPr>
      <w:r>
        <w:rPr>
          <w:b/>
          <w:bCs/>
        </w:rPr>
        <w:t xml:space="preserve">Status:</w:t>
      </w:r>
      <w:r>
        <w:t xml:space="preserve"> </w:t>
      </w:r>
      <w:r>
        <w:t xml:space="preserve">Conditional theorem.</w:t>
      </w:r>
    </w:p>
    <w:p>
      <w:pPr>
        <w:pStyle w:val="BodyText"/>
      </w:pPr>
      <w:r>
        <w:t xml:space="preserve">The six accomplishments ask how the source could still receive what makes it actual, one, existent, determinate, or perfect. Their arguments must identify the dependence rather than assume it.</w:t>
      </w:r>
    </w:p>
    <w:p>
      <w:pPr>
        <w:pStyle w:val="BodyText"/>
      </w:pPr>
      <w:r>
        <w:t xml:space="preserve">Begin with the strongest simple objection: an efficiently uncaused reality might still be a brute composite. KD answers by claiming that proper intrinsic constituents ground the whole’s actuality. To defend it, identify what each proposed constituent contributes to what the whole actually is. A structure that makes no such contribution may be an analysis or a dependent feature of the whole, rather than a prior constituent. A whole-priority theorist can dispute the direction of grounding; that is the substantive disagreement.</w:t>
      </w:r>
    </w:p>
    <w:p>
      <w:pPr>
        <w:pStyle w:val="BodyText"/>
      </w:pPr>
      <w:r>
        <w:t xml:space="preserve">The six accomplishments extend this audit. Pure actuality examines receptive actualization; non-derivative unity examines unification by prior principles; anti-composition examines constitutive grounding; transcendence of genus examines determination by a wider constitutive kind; essence–existence identity examines received existential actuality; attribute simplicity examines perfections that would complete an underlying divine subject. These routes overlap and carry different premises. They are a historically deep cumulative case, not six premise-neutral proofs.</w:t>
      </w:r>
    </w:p>
    <w:p>
      <w:pPr>
        <w:pStyle w:val="BodyText"/>
      </w:pPr>
      <w:r>
        <w:t xml:space="preserve">Their common negative result is precise: nothing more basic supplies the source with the actuality, unity, existence, determination, or perfection by which it is ultimate. The positive argument begins only when a perfection is independently warranted. If possessing that perfection required a distinct intrinsic actualizer that perfected the source, its possession would be received. Underivation excludes that receiving structure. This gives perfection without reception; it does not discover a seventh independent simplicity accomplishment.</w:t>
      </w:r>
    </w:p>
    <w:p>
      <w:pPr>
        <w:pStyle w:val="BodyText"/>
      </w:pPr>
      <w:r>
        <w:t xml:space="preserve">Nor does it manufacture the perfection itself. An argument for intelligence must establish intelligence; an argument for goodness must establish goodness. Simplicity then disciplines their mode of possession. Wisdom and power need not be synonyms to have one concrete realization. Conversely, merely showing that one realization can answer several descriptions does not prove that every divine perfection is realized in this way.</w:t>
      </w:r>
    </w:p>
    <w:p>
      <w:pPr>
        <w:pStyle w:val="BodyText"/>
      </w:pPr>
      <w:r>
        <w:t xml:space="preserve">Plenitude is this positive possession without completion by something more basic. It means neither featureless unity nor an inventory of acquired attributes. For finite goods whose complete character includes learning, embodiment, danger, or growth, the argument must distinguish their positive achievement from their receptive conditions. A creature’s good can remain genuinely creaturely without every element of its description being transferred to God.</w:t>
      </w:r>
    </w:p>
    <w:p>
      <w:pPr>
        <w:pStyle w:val="BodyText"/>
      </w:pPr>
      <w:r>
        <w:t xml:space="preserve">The audit leaves real questions. Scotist formalities, Palamite energies, and subsistent relations cannot be classified as parts by definition. In Trinitarian theology, the Son’s origin from the Father is not the reception of a missing divine perfection: unreceived divine actuality must not be confused with the Father’s personal unbegottenness. That distinction is doctrinally supplied; natural simplicity does not deduce the persons.</w:t>
      </w:r>
    </w:p>
    <w:p>
      <w:pPr>
        <w:pStyle w:val="BodyText"/>
      </w:pPr>
      <w:r>
        <w:t xml:space="preserve">Noncomposition, temporal changelessness, and identical intrinsic actuality across possible worlds remain separate claims. A noncomposite agent could have different intrinsic intentions in alternative possible situations without acquiring a part in time. Excluding this rival requires X and its independent defense.</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Structure</w:t>
            </w:r>
          </w:p>
        </w:tc>
        <w:tc>
          <w:tcPr>
            <w:tcW w:type="dxa" w:w="2749"/>
            <w:shd w:fill="EAE5DA"/>
          </w:tcPr>
          <w:p>
            <w:pPr>
              <w:pStyle w:val="BodyText"/>
              <w:keepNext w:val="0"/>
              <w:spacing w:after="80" w:line="252" w:lineRule="auto"/>
              <w:jc w:val="left"/>
            </w:pPr>
            <w:r>
              <w:rPr>
                <w:rFonts w:ascii="Calibri" w:hAnsi="Calibri"/>
                <w:b/>
                <w:sz w:val="17"/>
              </w:rPr>
              <w:t xml:space="preserve">Bridge</w:t>
            </w:r>
          </w:p>
        </w:tc>
        <w:tc>
          <w:tcPr>
            <w:tcW w:type="dxa" w:w="2749"/>
            <w:shd w:fill="EAE5DA"/>
          </w:tcPr>
          <w:p>
            <w:pPr>
              <w:pStyle w:val="BodyText"/>
              <w:keepNext w:val="0"/>
              <w:spacing w:after="80" w:line="252" w:lineRule="auto"/>
              <w:jc w:val="left"/>
            </w:pPr>
            <w:r>
              <w:rPr>
                <w:rFonts w:ascii="Calibri" w:hAnsi="Calibri"/>
                <w:b/>
                <w:sz w:val="17"/>
              </w:rPr>
              <w:t xml:space="preserve">Result</w:t>
            </w:r>
          </w:p>
        </w:tc>
        <w:tc>
          <w:tcPr>
            <w:tcW w:type="dxa" w:w="2749"/>
            <w:shd w:fill="EAE5DA"/>
          </w:tcPr>
          <w:p>
            <w:pPr>
              <w:pStyle w:val="BodyText"/>
              <w:keepNext w:val="0"/>
              <w:spacing w:after="80" w:line="252" w:lineRule="auto"/>
              <w:jc w:val="left"/>
            </w:pPr>
            <w:r>
              <w:rPr>
                <w:rFonts w:ascii="Calibri" w:hAnsi="Calibri"/>
                <w:b/>
                <w:sz w:val="17"/>
              </w:rPr>
              <w:t xml:space="preserve">Boundary</w:t>
            </w:r>
          </w:p>
        </w:tc>
      </w:tr>
      <w:tr>
        <w:tc>
          <w:tcPr>
            <w:tcW w:type="dxa" w:w="1689"/>
          </w:tcPr>
          <w:p>
            <w:pPr>
              <w:pStyle w:val="BodyText"/>
              <w:keepNext w:val="0"/>
              <w:spacing w:after="80" w:line="252" w:lineRule="auto"/>
              <w:jc w:val="left"/>
            </w:pPr>
            <w:r>
              <w:rPr>
                <w:rFonts w:ascii="Calibri" w:hAnsi="Calibri"/>
                <w:sz w:val="17"/>
              </w:rPr>
              <w:t xml:space="preserve">1. Pure actuality</w:t>
            </w:r>
          </w:p>
        </w:tc>
        <w:tc>
          <w:tcPr>
            <w:tcW w:type="dxa" w:w="2749"/>
          </w:tcPr>
          <w:p>
            <w:pPr>
              <w:pStyle w:val="BodyText"/>
              <w:keepNext w:val="0"/>
              <w:spacing w:after="80" w:line="252" w:lineRule="auto"/>
              <w:jc w:val="left"/>
            </w:pPr>
            <w:r>
              <w:rPr>
                <w:rFonts w:ascii="Calibri" w:hAnsi="Calibri"/>
                <w:sz w:val="17"/>
              </w:rPr>
              <w:t xml:space="preserve">Receptive potency requires actuality from an actualizer</w:t>
            </w:r>
          </w:p>
        </w:tc>
        <w:tc>
          <w:tcPr>
            <w:tcW w:type="dxa" w:w="2749"/>
          </w:tcPr>
          <w:p>
            <w:pPr>
              <w:pStyle w:val="BodyText"/>
              <w:keepNext w:val="0"/>
              <w:spacing w:after="80" w:line="252" w:lineRule="auto"/>
              <w:jc w:val="left"/>
            </w:pPr>
            <w:r>
              <w:rPr>
                <w:rFonts w:ascii="Calibri" w:hAnsi="Calibri"/>
                <w:sz w:val="17"/>
              </w:rPr>
              <w:t xml:space="preserve">Excluded where it makes the source actual through what it receives</w:t>
            </w:r>
          </w:p>
        </w:tc>
        <w:tc>
          <w:tcPr>
            <w:tcW w:type="dxa" w:w="2749"/>
          </w:tcPr>
          <w:p>
            <w:pPr>
              <w:pStyle w:val="BodyText"/>
              <w:keepNext w:val="0"/>
              <w:spacing w:after="80" w:line="252" w:lineRule="auto"/>
              <w:jc w:val="left"/>
            </w:pPr>
            <w:r>
              <w:rPr>
                <w:rFonts w:ascii="Calibri" w:hAnsi="Calibri"/>
                <w:sz w:val="17"/>
              </w:rPr>
              <w:t xml:space="preserve">Active power for optional effects is not passive incompleteness.</w:t>
            </w:r>
          </w:p>
        </w:tc>
      </w:tr>
      <w:tr>
        <w:tc>
          <w:tcPr>
            <w:tcW w:type="dxa" w:w="1689"/>
          </w:tcPr>
          <w:p>
            <w:pPr>
              <w:pStyle w:val="BodyText"/>
              <w:keepNext w:val="0"/>
              <w:spacing w:after="80" w:line="252" w:lineRule="auto"/>
              <w:jc w:val="left"/>
            </w:pPr>
            <w:r>
              <w:rPr>
                <w:rFonts w:ascii="Calibri" w:hAnsi="Calibri"/>
                <w:sz w:val="17"/>
              </w:rPr>
              <w:t xml:space="preserve">2. Non-derivative unity</w:t>
            </w:r>
          </w:p>
        </w:tc>
        <w:tc>
          <w:tcPr>
            <w:tcW w:type="dxa" w:w="2749"/>
          </w:tcPr>
          <w:p>
            <w:pPr>
              <w:pStyle w:val="BodyText"/>
              <w:keepNext w:val="0"/>
              <w:spacing w:after="80" w:line="252" w:lineRule="auto"/>
              <w:jc w:val="left"/>
            </w:pPr>
            <w:r>
              <w:rPr>
                <w:rFonts w:ascii="Calibri" w:hAnsi="Calibri"/>
                <w:sz w:val="17"/>
              </w:rPr>
              <w:t xml:space="preserve">Prior principles or their coordination supply the whole’s unity</w:t>
            </w:r>
          </w:p>
        </w:tc>
        <w:tc>
          <w:tcPr>
            <w:tcW w:type="dxa" w:w="2749"/>
          </w:tcPr>
          <w:p>
            <w:pPr>
              <w:pStyle w:val="BodyText"/>
              <w:keepNext w:val="0"/>
              <w:spacing w:after="80" w:line="252" w:lineRule="auto"/>
              <w:jc w:val="left"/>
            </w:pPr>
            <w:r>
              <w:rPr>
                <w:rFonts w:ascii="Calibri" w:hAnsi="Calibri"/>
                <w:sz w:val="17"/>
              </w:rPr>
              <w:t xml:space="preserve">Excluded where the source receives the unity by which it is one</w:t>
            </w:r>
          </w:p>
        </w:tc>
        <w:tc>
          <w:tcPr>
            <w:tcW w:type="dxa" w:w="2749"/>
          </w:tcPr>
          <w:p>
            <w:pPr>
              <w:pStyle w:val="BodyText"/>
              <w:keepNext w:val="0"/>
              <w:spacing w:after="80" w:line="252" w:lineRule="auto"/>
              <w:jc w:val="left"/>
            </w:pPr>
            <w:r>
              <w:rPr>
                <w:rFonts w:ascii="Calibri" w:hAnsi="Calibri"/>
                <w:sz w:val="17"/>
              </w:rPr>
              <w:t xml:space="preserve">Plural descriptions alone do not establish a unifying cause.</w:t>
            </w:r>
          </w:p>
        </w:tc>
      </w:tr>
      <w:tr>
        <w:tc>
          <w:tcPr>
            <w:tcW w:type="dxa" w:w="1689"/>
          </w:tcPr>
          <w:p>
            <w:pPr>
              <w:pStyle w:val="BodyText"/>
              <w:keepNext w:val="0"/>
              <w:spacing w:after="80" w:line="252" w:lineRule="auto"/>
              <w:jc w:val="left"/>
            </w:pPr>
            <w:r>
              <w:rPr>
                <w:rFonts w:ascii="Calibri" w:hAnsi="Calibri"/>
                <w:sz w:val="17"/>
              </w:rPr>
              <w:t xml:space="preserve">3. Anti-composition</w:t>
            </w:r>
          </w:p>
        </w:tc>
        <w:tc>
          <w:tcPr>
            <w:tcW w:type="dxa" w:w="2749"/>
          </w:tcPr>
          <w:p>
            <w:pPr>
              <w:pStyle w:val="BodyText"/>
              <w:keepNext w:val="0"/>
              <w:spacing w:after="80" w:line="252" w:lineRule="auto"/>
              <w:jc w:val="left"/>
            </w:pPr>
            <w:r>
              <w:rPr>
                <w:rFonts w:ascii="Calibri" w:hAnsi="Calibri"/>
                <w:sz w:val="17"/>
              </w:rPr>
              <w:t xml:space="preserve">KD: proper intrinsic constituents ground the whole’s actuality</w:t>
            </w:r>
          </w:p>
        </w:tc>
        <w:tc>
          <w:tcPr>
            <w:tcW w:type="dxa" w:w="2749"/>
          </w:tcPr>
          <w:p>
            <w:pPr>
              <w:pStyle w:val="BodyText"/>
              <w:keepNext w:val="0"/>
              <w:spacing w:after="80" w:line="252" w:lineRule="auto"/>
              <w:jc w:val="left"/>
            </w:pPr>
            <w:r>
              <w:rPr>
                <w:rFonts w:ascii="Calibri" w:hAnsi="Calibri"/>
                <w:sz w:val="17"/>
              </w:rPr>
              <w:t xml:space="preserve">U + KD exclude those constituents</w:t>
            </w:r>
          </w:p>
        </w:tc>
        <w:tc>
          <w:tcPr>
            <w:tcW w:type="dxa" w:w="2749"/>
          </w:tcPr>
          <w:p>
            <w:pPr>
              <w:pStyle w:val="BodyText"/>
              <w:keepNext w:val="0"/>
              <w:spacing w:after="80" w:line="252" w:lineRule="auto"/>
              <w:jc w:val="left"/>
            </w:pPr>
            <w:r>
              <w:rPr>
                <w:rFonts w:ascii="Calibri" w:hAnsi="Calibri"/>
                <w:sz w:val="17"/>
              </w:rPr>
              <w:t xml:space="preserve">Whole-priority and brute-unity rivals challenge this direction of grounding.</w:t>
            </w:r>
          </w:p>
        </w:tc>
      </w:tr>
      <w:tr>
        <w:tc>
          <w:tcPr>
            <w:tcW w:type="dxa" w:w="1689"/>
          </w:tcPr>
          <w:p>
            <w:pPr>
              <w:pStyle w:val="BodyText"/>
              <w:keepNext w:val="0"/>
              <w:spacing w:after="80" w:line="252" w:lineRule="auto"/>
              <w:jc w:val="left"/>
            </w:pPr>
            <w:r>
              <w:rPr>
                <w:rFonts w:ascii="Calibri" w:hAnsi="Calibri"/>
                <w:sz w:val="17"/>
              </w:rPr>
              <w:t xml:space="preserve">4. No constitutive genus</w:t>
            </w:r>
          </w:p>
        </w:tc>
        <w:tc>
          <w:tcPr>
            <w:tcW w:type="dxa" w:w="2749"/>
          </w:tcPr>
          <w:p>
            <w:pPr>
              <w:pStyle w:val="BodyText"/>
              <w:keepNext w:val="0"/>
              <w:spacing w:after="80" w:line="252" w:lineRule="auto"/>
              <w:jc w:val="left"/>
            </w:pPr>
            <w:r>
              <w:rPr>
                <w:rFonts w:ascii="Calibri" w:hAnsi="Calibri"/>
                <w:sz w:val="17"/>
              </w:rPr>
              <w:t xml:space="preserve">A wider natural kind supplies principles determining what its member is</w:t>
            </w:r>
          </w:p>
        </w:tc>
        <w:tc>
          <w:tcPr>
            <w:tcW w:type="dxa" w:w="2749"/>
          </w:tcPr>
          <w:p>
            <w:pPr>
              <w:pStyle w:val="BodyText"/>
              <w:keepNext w:val="0"/>
              <w:spacing w:after="80" w:line="252" w:lineRule="auto"/>
              <w:jc w:val="left"/>
            </w:pPr>
            <w:r>
              <w:rPr>
                <w:rFonts w:ascii="Calibri" w:hAnsi="Calibri"/>
                <w:sz w:val="17"/>
              </w:rPr>
              <w:t xml:space="preserve">Excluded under the defended genus–constitution bridge</w:t>
            </w:r>
          </w:p>
        </w:tc>
        <w:tc>
          <w:tcPr>
            <w:tcW w:type="dxa" w:w="2749"/>
          </w:tcPr>
          <w:p>
            <w:pPr>
              <w:pStyle w:val="BodyText"/>
              <w:keepNext w:val="0"/>
              <w:spacing w:after="80" w:line="252" w:lineRule="auto"/>
              <w:jc w:val="left"/>
            </w:pPr>
            <w:r>
              <w:rPr>
                <w:rFonts w:ascii="Calibri" w:hAnsi="Calibri"/>
                <w:sz w:val="17"/>
              </w:rPr>
              <w:t xml:space="preserve">A shared logical concept is not thereby a common constitutive measure.</w:t>
            </w:r>
          </w:p>
        </w:tc>
      </w:tr>
      <w:tr>
        <w:tc>
          <w:tcPr>
            <w:tcW w:type="dxa" w:w="1689"/>
          </w:tcPr>
          <w:p>
            <w:pPr>
              <w:pStyle w:val="BodyText"/>
              <w:keepNext w:val="0"/>
              <w:spacing w:after="80" w:line="252" w:lineRule="auto"/>
              <w:jc w:val="left"/>
            </w:pPr>
            <w:r>
              <w:rPr>
                <w:rFonts w:ascii="Calibri" w:hAnsi="Calibri"/>
                <w:sz w:val="17"/>
              </w:rPr>
              <w:t xml:space="preserve">5. Essence–existence identity</w:t>
            </w:r>
          </w:p>
        </w:tc>
        <w:tc>
          <w:tcPr>
            <w:tcW w:type="dxa" w:w="2749"/>
          </w:tcPr>
          <w:p>
            <w:pPr>
              <w:pStyle w:val="BodyText"/>
              <w:keepNext w:val="0"/>
              <w:spacing w:after="80" w:line="252" w:lineRule="auto"/>
              <w:jc w:val="left"/>
            </w:pPr>
            <w:r>
              <w:rPr>
                <w:rFonts w:ascii="Calibri" w:hAnsi="Calibri"/>
                <w:sz w:val="17"/>
              </w:rPr>
              <w:t xml:space="preserve">A constituted recipient receives existential actuality from an actualizer</w:t>
            </w:r>
          </w:p>
        </w:tc>
        <w:tc>
          <w:tcPr>
            <w:tcW w:type="dxa" w:w="2749"/>
          </w:tcPr>
          <w:p>
            <w:pPr>
              <w:pStyle w:val="BodyText"/>
              <w:keepNext w:val="0"/>
              <w:spacing w:after="80" w:line="252" w:lineRule="auto"/>
              <w:jc w:val="left"/>
            </w:pPr>
            <w:r>
              <w:rPr>
                <w:rFonts w:ascii="Calibri" w:hAnsi="Calibri"/>
                <w:sz w:val="17"/>
              </w:rPr>
              <w:t xml:space="preserve">No received source existence under that ontology</w:t>
            </w:r>
          </w:p>
        </w:tc>
        <w:tc>
          <w:tcPr>
            <w:tcW w:type="dxa" w:w="2749"/>
          </w:tcPr>
          <w:p>
            <w:pPr>
              <w:pStyle w:val="BodyText"/>
              <w:keepNext w:val="0"/>
              <w:spacing w:after="80" w:line="252" w:lineRule="auto"/>
              <w:jc w:val="left"/>
            </w:pPr>
            <w:r>
              <w:rPr>
                <w:rFonts w:ascii="Calibri" w:hAnsi="Calibri"/>
                <w:sz w:val="17"/>
              </w:rPr>
              <w:t xml:space="preserve">Different concepts alone do not establish a real recipient–actualizer structure.</w:t>
            </w:r>
          </w:p>
        </w:tc>
      </w:tr>
      <w:tr>
        <w:tc>
          <w:tcPr>
            <w:tcW w:type="dxa" w:w="1689"/>
          </w:tcPr>
          <w:p>
            <w:pPr>
              <w:pStyle w:val="BodyText"/>
              <w:keepNext w:val="0"/>
              <w:spacing w:after="80" w:line="252" w:lineRule="auto"/>
              <w:jc w:val="left"/>
            </w:pPr>
            <w:r>
              <w:rPr>
                <w:rFonts w:ascii="Calibri" w:hAnsi="Calibri"/>
                <w:sz w:val="17"/>
              </w:rPr>
              <w:t xml:space="preserve">6. Attribute simplicity</w:t>
            </w:r>
          </w:p>
        </w:tc>
        <w:tc>
          <w:tcPr>
            <w:tcW w:type="dxa" w:w="2749"/>
          </w:tcPr>
          <w:p>
            <w:pPr>
              <w:pStyle w:val="BodyText"/>
              <w:keepNext w:val="0"/>
              <w:spacing w:after="80" w:line="252" w:lineRule="auto"/>
              <w:jc w:val="left"/>
            </w:pPr>
            <w:r>
              <w:rPr>
                <w:rFonts w:ascii="Calibri" w:hAnsi="Calibri"/>
                <w:sz w:val="17"/>
              </w:rPr>
              <w:t xml:space="preserve">Distinct intrinsic perfection-principles actualize or complete a divine subject</w:t>
            </w:r>
          </w:p>
        </w:tc>
        <w:tc>
          <w:tcPr>
            <w:tcW w:type="dxa" w:w="2749"/>
          </w:tcPr>
          <w:p>
            <w:pPr>
              <w:pStyle w:val="BodyText"/>
              <w:keepNext w:val="0"/>
              <w:spacing w:after="80" w:line="252" w:lineRule="auto"/>
              <w:jc w:val="left"/>
            </w:pPr>
            <w:r>
              <w:rPr>
                <w:rFonts w:ascii="Calibri" w:hAnsi="Calibri"/>
                <w:sz w:val="17"/>
              </w:rPr>
              <w:t xml:space="preserve">Excluded where the subject is perfected through them</w:t>
            </w:r>
          </w:p>
        </w:tc>
        <w:tc>
          <w:tcPr>
            <w:tcW w:type="dxa" w:w="2749"/>
          </w:tcPr>
          <w:p>
            <w:pPr>
              <w:pStyle w:val="BodyText"/>
              <w:keepNext w:val="0"/>
              <w:spacing w:after="80" w:line="252" w:lineRule="auto"/>
              <w:jc w:val="left"/>
            </w:pPr>
            <w:r>
              <w:rPr>
                <w:rFonts w:ascii="Calibri" w:hAnsi="Calibri"/>
                <w:sz w:val="17"/>
              </w:rPr>
              <w:t xml:space="preserve">Different meanings can share one realization; nonconstitutive formal distinction needs separate analysis.</w:t>
            </w:r>
          </w:p>
        </w:tc>
      </w:tr>
      <w:tr>
        <w:tc>
          <w:tcPr>
            <w:tcW w:type="dxa" w:w="1689"/>
          </w:tcPr>
          <w:p>
            <w:pPr>
              <w:pStyle w:val="BodyText"/>
              <w:keepNext w:val="0"/>
              <w:spacing w:after="80" w:line="252" w:lineRule="auto"/>
              <w:jc w:val="left"/>
            </w:pPr>
            <w:r>
              <w:rPr>
                <w:rFonts w:ascii="Calibri" w:hAnsi="Calibri"/>
                <w:sz w:val="17"/>
              </w:rPr>
              <w:t xml:space="preserve">Subject / accident</w:t>
            </w:r>
          </w:p>
        </w:tc>
        <w:tc>
          <w:tcPr>
            <w:tcW w:type="dxa" w:w="2749"/>
          </w:tcPr>
          <w:p>
            <w:pPr>
              <w:pStyle w:val="BodyText"/>
              <w:keepNext w:val="0"/>
              <w:spacing w:after="80" w:line="252" w:lineRule="auto"/>
              <w:jc w:val="left"/>
            </w:pPr>
            <w:r>
              <w:rPr>
                <w:rFonts w:ascii="Calibri" w:hAnsi="Calibri"/>
                <w:sz w:val="17"/>
              </w:rPr>
              <w:t xml:space="preserve">Accidental actuality depends on a subject and an acquired actualization</w:t>
            </w:r>
          </w:p>
        </w:tc>
        <w:tc>
          <w:tcPr>
            <w:tcW w:type="dxa" w:w="2749"/>
          </w:tcPr>
          <w:p>
            <w:pPr>
              <w:pStyle w:val="BodyText"/>
              <w:keepNext w:val="0"/>
              <w:spacing w:after="80" w:line="252" w:lineRule="auto"/>
              <w:jc w:val="left"/>
            </w:pPr>
            <w:r>
              <w:rPr>
                <w:rFonts w:ascii="Calibri" w:hAnsi="Calibri"/>
                <w:sz w:val="17"/>
              </w:rPr>
              <w:t xml:space="preserve">Excluded where it introduces the relevant receptive dependence</w:t>
            </w:r>
          </w:p>
        </w:tc>
        <w:tc>
          <w:tcPr>
            <w:tcW w:type="dxa" w:w="2749"/>
          </w:tcPr>
          <w:p>
            <w:pPr>
              <w:pStyle w:val="BodyText"/>
              <w:keepNext w:val="0"/>
              <w:spacing w:after="80" w:line="252" w:lineRule="auto"/>
              <w:jc w:val="left"/>
            </w:pPr>
            <w:r>
              <w:rPr>
                <w:rFonts w:ascii="Calibri" w:hAnsi="Calibri"/>
                <w:sz w:val="17"/>
              </w:rPr>
              <w:t xml:space="preserve">An external predication is not thereby an intrinsic accident.</w:t>
            </w:r>
          </w:p>
        </w:tc>
      </w:tr>
      <w:tr>
        <w:tc>
          <w:tcPr>
            <w:tcW w:type="dxa" w:w="1689"/>
          </w:tcPr>
          <w:p>
            <w:pPr>
              <w:pStyle w:val="BodyText"/>
              <w:keepNext w:val="0"/>
              <w:spacing w:after="80" w:line="252" w:lineRule="auto"/>
              <w:jc w:val="left"/>
            </w:pPr>
            <w:r>
              <w:rPr>
                <w:rFonts w:ascii="Calibri" w:hAnsi="Calibri"/>
                <w:sz w:val="17"/>
              </w:rPr>
              <w:t xml:space="preserve">Personal origin</w:t>
            </w:r>
          </w:p>
        </w:tc>
        <w:tc>
          <w:tcPr>
            <w:tcW w:type="dxa" w:w="2749"/>
          </w:tcPr>
          <w:p>
            <w:pPr>
              <w:pStyle w:val="BodyText"/>
              <w:keepNext w:val="0"/>
              <w:spacing w:after="80" w:line="252" w:lineRule="auto"/>
              <w:jc w:val="left"/>
            </w:pPr>
            <w:r>
              <w:rPr>
                <w:rFonts w:ascii="Calibri" w:hAnsi="Calibri"/>
                <w:sz w:val="17"/>
              </w:rPr>
              <w:t xml:space="preserve">Real opposition of origin without division of divine essence</w:t>
            </w:r>
          </w:p>
        </w:tc>
        <w:tc>
          <w:tcPr>
            <w:tcW w:type="dxa" w:w="2749"/>
          </w:tcPr>
          <w:p>
            <w:pPr>
              <w:pStyle w:val="BodyText"/>
              <w:keepNext w:val="0"/>
              <w:spacing w:after="80" w:line="252" w:lineRule="auto"/>
              <w:jc w:val="left"/>
            </w:pPr>
            <w:r>
              <w:rPr>
                <w:rFonts w:ascii="Calibri" w:hAnsi="Calibri"/>
                <w:sz w:val="17"/>
              </w:rPr>
              <w:t xml:space="preserve">Theological distinction, not derived from natural simplicity</w:t>
            </w:r>
          </w:p>
        </w:tc>
        <w:tc>
          <w:tcPr>
            <w:tcW w:type="dxa" w:w="2749"/>
          </w:tcPr>
          <w:p>
            <w:pPr>
              <w:pStyle w:val="BodyText"/>
              <w:keepNext w:val="0"/>
              <w:spacing w:after="80" w:line="252" w:lineRule="auto"/>
              <w:jc w:val="left"/>
            </w:pPr>
            <w:r>
              <w:rPr>
                <w:rFonts w:ascii="Calibri" w:hAnsi="Calibri"/>
                <w:sz w:val="17"/>
              </w:rPr>
              <w:t xml:space="preserve">Unreceived deity does not make Son and Spirit personally unoriginated.</w:t>
            </w:r>
          </w:p>
        </w:tc>
      </w:tr>
      <w:tr>
        <w:tc>
          <w:tcPr>
            <w:tcW w:type="dxa" w:w="1689"/>
          </w:tcPr>
          <w:p>
            <w:pPr>
              <w:pStyle w:val="BodyText"/>
              <w:keepNext w:val="0"/>
              <w:spacing w:after="80" w:line="252" w:lineRule="auto"/>
              <w:jc w:val="left"/>
            </w:pPr>
            <w:r>
              <w:rPr>
                <w:rFonts w:ascii="Calibri" w:hAnsi="Calibri"/>
                <w:sz w:val="17"/>
              </w:rPr>
              <w:t xml:space="preserve">Formalities / energies</w:t>
            </w:r>
          </w:p>
        </w:tc>
        <w:tc>
          <w:tcPr>
            <w:tcW w:type="dxa" w:w="2749"/>
          </w:tcPr>
          <w:p>
            <w:pPr>
              <w:pStyle w:val="BodyText"/>
              <w:keepNext w:val="0"/>
              <w:spacing w:after="80" w:line="252" w:lineRule="auto"/>
              <w:jc w:val="left"/>
            </w:pPr>
            <w:r>
              <w:rPr>
                <w:rFonts w:ascii="Calibri" w:hAnsi="Calibri"/>
                <w:sz w:val="17"/>
              </w:rPr>
              <w:t xml:space="preserve">Do the proposed distinctions actually constitute or actualize the source?</w:t>
            </w:r>
          </w:p>
        </w:tc>
        <w:tc>
          <w:tcPr>
            <w:tcW w:type="dxa" w:w="2749"/>
          </w:tcPr>
          <w:p>
            <w:pPr>
              <w:pStyle w:val="BodyText"/>
              <w:keepNext w:val="0"/>
              <w:spacing w:after="80" w:line="252" w:lineRule="auto"/>
              <w:jc w:val="left"/>
            </w:pPr>
            <w:r>
              <w:rPr>
                <w:rFonts w:ascii="Calibri" w:hAnsi="Calibri"/>
                <w:sz w:val="17"/>
              </w:rPr>
              <w:t xml:space="preserve">Case-specific; not automatically excluded</w:t>
            </w:r>
          </w:p>
        </w:tc>
        <w:tc>
          <w:tcPr>
            <w:tcW w:type="dxa" w:w="2749"/>
          </w:tcPr>
          <w:p>
            <w:pPr>
              <w:pStyle w:val="BodyText"/>
              <w:keepNext w:val="0"/>
              <w:spacing w:after="80" w:line="252" w:lineRule="auto"/>
              <w:jc w:val="left"/>
            </w:pPr>
            <w:r>
              <w:rPr>
                <w:rFonts w:ascii="Calibri" w:hAnsi="Calibri"/>
                <w:sz w:val="17"/>
              </w:rPr>
              <w:t xml:space="preserve">Scotist formalities and Palamite energies are not interchangeable accounts.</w:t>
            </w:r>
          </w:p>
        </w:tc>
      </w:tr>
      <w:tr>
        <w:tc>
          <w:tcPr>
            <w:tcW w:type="dxa" w:w="1689"/>
          </w:tcPr>
          <w:p>
            <w:pPr>
              <w:pStyle w:val="BodyText"/>
              <w:keepNext w:val="0"/>
              <w:spacing w:after="80" w:line="252" w:lineRule="auto"/>
              <w:jc w:val="left"/>
            </w:pPr>
            <w:r>
              <w:rPr>
                <w:rFonts w:ascii="Calibri" w:hAnsi="Calibri"/>
                <w:sz w:val="17"/>
              </w:rPr>
              <w:t xml:space="preserve">Intrinsic intention across worlds</w:t>
            </w:r>
          </w:p>
        </w:tc>
        <w:tc>
          <w:tcPr>
            <w:tcW w:type="dxa" w:w="2749"/>
          </w:tcPr>
          <w:p>
            <w:pPr>
              <w:pStyle w:val="BodyText"/>
              <w:keepNext w:val="0"/>
              <w:spacing w:after="80" w:line="252" w:lineRule="auto"/>
              <w:jc w:val="left"/>
            </w:pPr>
            <w:r>
              <w:rPr>
                <w:rFonts w:ascii="Calibri" w:hAnsi="Calibri"/>
                <w:sz w:val="17"/>
              </w:rPr>
              <w:t xml:space="preserve">A different intrinsic intentional profile in another possible world</w:t>
            </w:r>
          </w:p>
        </w:tc>
        <w:tc>
          <w:tcPr>
            <w:tcW w:type="dxa" w:w="2749"/>
          </w:tcPr>
          <w:p>
            <w:pPr>
              <w:pStyle w:val="BodyText"/>
              <w:keepNext w:val="0"/>
              <w:spacing w:after="80" w:line="252" w:lineRule="auto"/>
              <w:jc w:val="left"/>
            </w:pPr>
            <w:r>
              <w:rPr>
                <w:rFonts w:ascii="Calibri" w:hAnsi="Calibri"/>
                <w:sz w:val="17"/>
              </w:rPr>
              <w:t xml:space="preserve">Not excluded by noncomposition alone</w:t>
            </w:r>
          </w:p>
        </w:tc>
        <w:tc>
          <w:tcPr>
            <w:tcW w:type="dxa" w:w="2749"/>
          </w:tcPr>
          <w:p>
            <w:pPr>
              <w:pStyle w:val="BodyText"/>
              <w:keepNext w:val="0"/>
              <w:spacing w:after="80" w:line="252" w:lineRule="auto"/>
              <w:jc w:val="left"/>
            </w:pPr>
            <w:r>
              <w:rPr>
                <w:rFonts w:ascii="Calibri" w:hAnsi="Calibri"/>
                <w:sz w:val="17"/>
              </w:rPr>
              <w:t xml:space="preserve">X supplies the stronger commitment; temporal acquisition is another question.</w:t>
            </w:r>
          </w:p>
        </w:tc>
      </w:tr>
    </w:tbl>
    <w:bookmarkEnd w:id="190"/>
    <w:bookmarkStart w:id="191" w:name="X2d1a8dfacf732792c19313726f8a4e01691d033"/>
    <w:p>
      <w:pPr>
        <w:pStyle w:val="Heading3"/>
      </w:pPr>
      <w:r>
        <w:t xml:space="preserve">03 / A gift can be complete without being compulsory.</w:t>
      </w:r>
    </w:p>
    <w:p>
      <w:pPr>
        <w:pStyle w:val="FirstParagraph"/>
      </w:pPr>
      <w:r>
        <w:rPr>
          <w:b/>
          <w:bCs/>
        </w:rPr>
        <w:t xml:space="preserve">Status:</w:t>
      </w:r>
      <w:r>
        <w:t xml:space="preserve"> </w:t>
      </w:r>
      <w:r>
        <w:t xml:space="preserve">Additional modal premise.</w:t>
      </w:r>
    </w:p>
    <w:p>
      <w:pPr>
        <w:pStyle w:val="BodyText"/>
      </w:pPr>
      <w:r>
        <w:t xml:space="preserve">Non-exhaustion removes a claim of adequacy: no finite world expresses the whole source. A further modal argument must establish that creation could genuinely have been otherwise.</w:t>
      </w:r>
    </w:p>
    <w:p>
      <w:pPr>
        <w:pStyle w:val="BodyText"/>
      </w:pPr>
      <w:r>
        <w:t xml:space="preserve">The necessary emanator is a decisive countermodel. It is unlimited, complete, and undivided; one finite cosmos follows from it in every admitted situation. The effect never exhausts its source, but still cannot fail to exist. Being unnecessary for the giver’s completion is different from being metaphysically contingent.</w:t>
      </w:r>
    </w:p>
    <w:p>
      <w:pPr>
        <w:pStyle w:val="BodyText"/>
      </w:pPr>
      <w:r>
        <w:t xml:space="preserve">Aquinas offers a stronger argument: a rational will necessarily directed toward its complete good need not necessarily select each finite means or expression by which that good could be communicated. Where the end is already possessed, the proposed recipient is not required to complete it. This supports communication as a gift. Its warrant includes a theory of rational willing and alternative specification; source fullness alone supplies neither.</w:t>
      </w:r>
    </w:p>
    <w:p>
      <w:pPr>
        <w:pStyle w:val="BodyText"/>
      </w:pPr>
      <w:r>
        <w:t xml:space="preserve">Scotus sharpens the modal question. A later change of mind does not establish that a will could have acted otherwise at this act of choice. Synchronic contingency concerns that live alternative. It need not be represented as a temporal hesitation in God. Our possible-worlds reconstruction is modern, and the Scotist resource does not independently establish X.</w:t>
      </w:r>
    </w:p>
    <w:p>
      <w:pPr>
        <w:pStyle w:val="BodyText"/>
      </w:pPr>
      <w:r>
        <w:t xml:space="preserve">Distinguish necessary execution from necessary choice. Necessarily, if an infallibly efficacious intention creates A, A exists. It does not follow that the intention toward A is necessary. Collapse follows if the necessary intrinsic divine actuality necessarily entails that complete world-specific intention. Denying that entailment blocks this route to collapse; intelligent authorship must still explain the actual choice.</w:t>
      </w:r>
    </w:p>
    <w:p>
      <w:pPr>
        <w:pStyle w:val="BodyText"/>
      </w:pPr>
      <w:r>
        <w:t xml:space="preserve">The explorer tests a strong modal extension: A, B, and no creation are admissible. Their stipulated consistency is weaker than proof of their metaphysical possibility. One effect’s possible absence, each effect’s contingency, different whole orders, and deliberate noncreation are four different claims. Noncreation is particularly important: a complete source would possess its intrinsic perfection without any actual recipient.</w:t>
      </w:r>
    </w:p>
    <w:bookmarkEnd w:id="191"/>
    <w:bookmarkStart w:id="192" w:name="alternatives-reasons-choice-execution."/>
    <w:p>
      <w:pPr>
        <w:pStyle w:val="Heading3"/>
      </w:pPr>
      <w:r>
        <w:t xml:space="preserve">04 / Alternatives, reasons, choice, execution.</w:t>
      </w:r>
    </w:p>
    <w:p>
      <w:pPr>
        <w:pStyle w:val="FirstParagraph"/>
      </w:pPr>
      <w:r>
        <w:rPr>
          <w:b/>
          <w:bCs/>
        </w:rPr>
        <w:t xml:space="preserve">Status:</w:t>
      </w:r>
      <w:r>
        <w:t xml:space="preserve"> </w:t>
      </w:r>
      <w:r>
        <w:t xml:space="preserve">Constructive extension.</w:t>
      </w:r>
    </w:p>
    <w:p>
      <w:pPr>
        <w:pStyle w:val="BodyText"/>
      </w:pPr>
      <w:r>
        <w:t xml:space="preserve">A complete account must explain what is possible, why an option is fitting, who chooses it, and why the intended result actually occurs.</w:t>
      </w:r>
    </w:p>
    <w:p>
      <w:pPr>
        <w:pStyle w:val="BodyText"/>
      </w:pPr>
      <w:r>
        <w:t xml:space="preserve">Possibility concerns admissible alternatives. Reasons concern the goods apprehended in them. Choice concerns the agent’s actual intentional exercise toward one. Efficacy concerns its successful production. A possibility does not choose itself; a good reason need not uniquely determine a gift; a finite agent can choose and fail to execute. In a perfect creative agent, infallible execution still does not make selection necessary.</w:t>
      </w:r>
    </w:p>
    <w:p>
      <w:pPr>
        <w:pStyle w:val="BodyText"/>
      </w:pPr>
      <w:r>
        <w:t xml:space="preserve">The strongest lottery rival places the spontaneity at the source itself. A or B occurs, every created actuality remains source-dependent, and no external machine governs the result. What is missing is the source’s rational authorship of the difference. Alternatives and complete causal dependence therefore do not yet amount to freedom.</w:t>
      </w:r>
    </w:p>
    <w:p>
      <w:pPr>
        <w:pStyle w:val="BodyText"/>
      </w:pPr>
      <w:r>
        <w:t xml:space="preserve">The positive proposal adds understood possibilities and control of the actual action. The agent acts for a reason toward a determinate good. Where several gifts are fitting, a reason can justify giving without necessitating this unique recipient or form. Demanding a prior uniquely determining reason for every choice would impose necessitation on the account before examining it. Accepting voluntary action as an explanatory terminus is itself a metaphysical commitment, not a synonym for randomness.</w:t>
      </w:r>
    </w:p>
    <w:p>
      <w:pPr>
        <w:pStyle w:val="BodyText"/>
      </w:pPr>
      <w:r>
        <w:t xml:space="preserve">Intellect needs an independent positive bridge. Producing intelligible or intelligent effects establishes, at minimum, causal adequacy for them. It does not by itself exclude a noncognitive source with primitive powers to produce cognition. The stronger argument treats achieved understanding, apart from the receptive passage of learning, as a pure perfection; it then requires intrinsic ultimate possession of such perfections at the universal source. Accepting both premises warrants an intellective source. Rejecting the second leaves the weaker causal conclusion.</w:t>
      </w:r>
    </w:p>
    <w:p>
      <w:pPr>
        <w:pStyle w:val="BodyText"/>
      </w:pPr>
      <w:r>
        <w:t xml:space="preserve">Anselm helps distinguish rational excellence from sheer access to contraries. Inability to choose evil can coexist with freedom understood as rectitude for its own sake. That insight concerns the perfection of agency; genuine alternatives among good creations still require the separate modal argument.</w:t>
      </w:r>
    </w:p>
    <w:bookmarkEnd w:id="192"/>
    <w:bookmarkStart w:id="193" w:name="Xd82565e653ea35812172f59acf7bbc88b824273"/>
    <w:p>
      <w:pPr>
        <w:pStyle w:val="Heading3"/>
      </w:pPr>
      <w:r>
        <w:t xml:space="preserve">05 / The difference belongs to an intended action.</w:t>
      </w:r>
    </w:p>
    <w:p>
      <w:pPr>
        <w:pStyle w:val="FirstParagraph"/>
      </w:pPr>
      <w:r>
        <w:rPr>
          <w:b/>
          <w:bCs/>
        </w:rPr>
        <w:t xml:space="preserve">Status:</w:t>
      </w:r>
      <w:r>
        <w:t xml:space="preserve"> </w:t>
      </w:r>
      <w:r>
        <w:t xml:space="preserve">Candidate compatibility model.</w:t>
      </w:r>
    </w:p>
    <w:p>
      <w:pPr>
        <w:pStyle w:val="BodyText"/>
      </w:pPr>
      <w:r>
        <w:t xml:space="preserve">The agent’s action must explain its direction toward this world. Reading an intention backward from the finished effect would leave authorship unexplained.</w:t>
      </w:r>
    </w:p>
    <w:p>
      <w:pPr>
        <w:pStyle w:val="BodyText"/>
      </w:pPr>
      <w:r>
        <w:t xml:space="preserve">An understood plan represents a possible created order; it is not a separately existing Form. The source’s intentional action is directed toward that plan, and its efficacy makes the intended created order actual. The plan’s intelligibility, the actual choice, and the effect’s existence are distinct. Neither a catalogue of possibilities nor the finished world supplies the choice.</w:t>
      </w:r>
    </w:p>
    <w:p>
      <w:pPr>
        <w:pStyle w:val="BodyText"/>
      </w:pPr>
      <w:r>
        <w:t xml:space="preserve">The proposal distinguishes the agent’s intrinsic actuality from the complete action-fact: this agent intentionally producing this effect. It claims that real intentional relations need not be determined by intrinsic agent states alone. If the agent can freely originate such a relation without receiving a new perfection, complete creative actions can differ while intrinsic actuality remains the same. This is a substantive constructive bridge. Relational description by itself does not establish it.</w:t>
      </w:r>
    </w:p>
    <w:p>
      <w:pPr>
        <w:pStyle w:val="BodyText"/>
      </w:pPr>
      <w:r>
        <w:t xml:space="preserve">What makes</w:t>
      </w:r>
      <w:r>
        <w:t xml:space="preserve"> </w:t>
      </w:r>
      <w:r>
        <w:t xml:space="preserve">“</w:t>
      </w:r>
      <w:r>
        <w:t xml:space="preserve">the source wills A</w:t>
      </w:r>
      <w:r>
        <w:t xml:space="preserve">”</w:t>
      </w:r>
      <w:r>
        <w:t xml:space="preserve"> </w:t>
      </w:r>
      <w:r>
        <w:t xml:space="preserve">true is its actual intelligent exercise toward A. The choice originates with the agent; A is the produced effect, not a prior actualizer of the choosing. Truthmaking for a statement about an effect and cognitive or constitutive actualization of the agent are different relations. Explanation provisionally terminates in voluntary action rather than a prior necessitating selector. That stopping point must account for positive control and an understood reason.</w:t>
      </w:r>
    </w:p>
    <w:p>
      <w:pPr>
        <w:pStyle w:val="BodyText"/>
      </w:pPr>
      <w:r>
        <w:t xml:space="preserve">Choosing, acquiring perfection, and constituting the chooser are different operations. A finite action often involves all three, together with bodily changes and successive thought. The divine question asks which of those conditions belong to agency as such. It cannot be answered simply by subtracting the conditions of creaturely action; the remaining intentional relation must still explain direction, control, and efficacy.</w:t>
      </w:r>
    </w:p>
    <w:p>
      <w:pPr>
        <w:pStyle w:val="BodyText"/>
      </w:pPr>
      <w:r>
        <w:t xml:space="preserve">The strongest rival grants free action but places different intrinsic intentions in different possible worlds. That rival need not introduce parts or temporal acquisition. The relational proposal preserves X only if the world-specific intentional difference genuinely belongs to the complete action without changing the source’s intrinsic actuality. Merely renaming the difference</w:t>
      </w:r>
      <w:r>
        <w:t xml:space="preserve"> </w:t>
      </w:r>
      <w:r>
        <w:t xml:space="preserve">“</w:t>
      </w:r>
      <w:r>
        <w:t xml:space="preserve">extrinsic</w:t>
      </w:r>
      <w:r>
        <w:t xml:space="preserve">”</w:t>
      </w:r>
      <w:r>
        <w:t xml:space="preserve"> </w:t>
      </w:r>
      <w:r>
        <w:t xml:space="preserve">would evade this burden.</w:t>
      </w:r>
    </w:p>
    <w:p>
      <w:pPr>
        <w:pStyle w:val="BodyText"/>
      </w:pPr>
      <w:r>
        <w:t xml:space="preserve">Deliberate noncreation tests the account sharply. There would be no actual created effect to supply an external label. The source would retain its understood possibilities and active power while freely refraining from outward exercise. A successful relational theory must explain that agency too, without inventing an independent action-object between God and creatures.</w:t>
      </w:r>
    </w:p>
    <w:bookmarkEnd w:id="193"/>
    <w:bookmarkStart w:id="194" w:name="X898b7e1a6e799c8f0b6e894fabc56b759df944d"/>
    <w:p>
      <w:pPr>
        <w:pStyle w:val="Heading3"/>
      </w:pPr>
      <w:r>
        <w:t xml:space="preserve">06 / Knowledge through actual intelligent action.</w:t>
      </w:r>
    </w:p>
    <w:p>
      <w:pPr>
        <w:pStyle w:val="FirstParagraph"/>
      </w:pPr>
      <w:r>
        <w:rPr>
          <w:b/>
          <w:bCs/>
        </w:rPr>
        <w:t xml:space="preserve">Status:</w:t>
      </w:r>
      <w:r>
        <w:t xml:space="preserve"> </w:t>
      </w:r>
      <w:r>
        <w:t xml:space="preserve">Independent epistemic proposal.</w:t>
      </w:r>
    </w:p>
    <w:p>
      <w:pPr>
        <w:pStyle w:val="BodyText"/>
      </w:pPr>
      <w:r>
        <w:t xml:space="preserve">The source can know an effect through its own efficacious intention if it knows that actual intention and its efficacy. Knowing a power or every possible plan is insufficient.</w:t>
      </w:r>
    </w:p>
    <w:p>
      <w:pPr>
        <w:pStyle w:val="BodyText"/>
      </w:pPr>
      <w:r>
        <w:t xml:space="preserve">Productive knowledge reverses the receptive pattern of learning from a finished object. An intelligent agent apprehends a determinate intended content, knows its actual exercise toward it, and understands what that exercise accomplishes. Where the intention is infallibly efficacious, this warrants knowledge of the effect without observing it. Blind power could produce the same result; efficacy must therefore be joined to intelligent self-awareness.</w:t>
      </w:r>
    </w:p>
    <w:p>
      <w:pPr>
        <w:pStyle w:val="BodyText"/>
      </w:pPr>
      <w:r>
        <w:t xml:space="preserve">Three conditions remain distinct: awareness of the actual action, adequate disclosure of its effect through that action, and warrant sufficient for knowledge. Accuracy alone is insufficient. Nor does intrinsic self-knowledge automatically reveal a world-specific intention if X leaves the intrinsic profile invariant. The required self-awareness must reach the complete actual intentional action, including its particular direction.</w:t>
      </w:r>
    </w:p>
    <w:p>
      <w:pPr>
        <w:pStyle w:val="BodyText"/>
      </w:pPr>
      <w:r>
        <w:t xml:space="preserve">Aquinas explicitly joins knowledge-as-cause to willing. Augustine’s non-acquired knowledge and the Maximian distinction between known logoi and actual creatures support this explanatory direction. They are historical resources for the proposal; no single author is credited with the whole modern account or its resolution of every modal difficulty.</w:t>
      </w:r>
    </w:p>
    <w:p>
      <w:pPr>
        <w:pStyle w:val="BodyText"/>
      </w:pPr>
      <w:r>
        <w:t xml:space="preserve">Knowledge is answerable to truth: knowing that A exists requires A’s existence. This factivity does not show that A teaches or actualizes the knower. On the productive account, the effect exists through the intelligent exercise; it does not contribute a missing cognitive perfection to the source. Truthmaking for a creaturely proposition is thus compatible with the creature’s not being a cognitive actualizer of God.</w:t>
      </w:r>
    </w:p>
    <w:p>
      <w:pPr>
        <w:pStyle w:val="BodyText"/>
      </w:pPr>
      <w:r>
        <w:t xml:space="preserve">The further frontier is secondary freedom. Sustaining a free creature is not identical with choosing its intention. Knowing a wrongful act is not choosing its moral defect. Productive knowledge covers what the actual divine exercise adequately specifies or discloses; it cannot simply absorb every creaturely intention into God’s intention.</w:t>
      </w:r>
    </w:p>
    <w:p>
      <w:pPr>
        <w:pStyle w:val="BodyText"/>
      </w:pPr>
      <w:r>
        <w:t xml:space="preserve">A possible further bridge is direct non-receptive awareness of finite acts: created actuality is cognitively present to the underived intellect without informing it through acquired representations. Causal intimacy makes that proposal intelligible but does not establish cognitive presence. It needs its own argument, including an account of omissions, future contingents, and moral defects. Catholic doctrine supplies comprehensive divine knowledge as a theological commitment; this scoped philosophical model has not independently demonstrated omniscience.</w:t>
      </w:r>
    </w:p>
    <w:bookmarkEnd w:id="194"/>
    <w:bookmarkStart w:id="195" w:name="break-the-proposed-paths."/>
    <w:p>
      <w:pPr>
        <w:pStyle w:val="Heading3"/>
      </w:pPr>
      <w:r>
        <w:t xml:space="preserve">07 / Break the proposed paths.</w:t>
      </w:r>
    </w:p>
    <w:p>
      <w:pPr>
        <w:pStyle w:val="FirstParagraph"/>
      </w:pPr>
      <w:r>
        <w:rPr>
          <w:b/>
          <w:bCs/>
        </w:rPr>
        <w:t xml:space="preserve">Status:</w:t>
      </w:r>
      <w:r>
        <w:t xml:space="preserve"> </w:t>
      </w:r>
      <w:r>
        <w:t xml:space="preserve">Dependency explorer.</w:t>
      </w:r>
    </w:p>
    <w:p>
      <w:pPr>
        <w:pStyle w:val="BodyText"/>
      </w:pPr>
      <w:r>
        <w:t xml:space="preserve">Toggle commitments to see which documented arguments remain available. A selected premise is not an independently warranted truth.</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Bridge</w:t>
            </w:r>
          </w:p>
        </w:tc>
        <w:tc>
          <w:tcPr>
            <w:tcW w:type="dxa" w:w="2749"/>
            <w:shd w:fill="EAE5DA"/>
          </w:tcPr>
          <w:p>
            <w:pPr>
              <w:pStyle w:val="BodyText"/>
              <w:keepNext w:val="0"/>
              <w:spacing w:after="80" w:line="252" w:lineRule="auto"/>
              <w:jc w:val="left"/>
            </w:pPr>
            <w:r>
              <w:rPr>
                <w:rFonts w:ascii="Calibri" w:hAnsi="Calibri"/>
                <w:b/>
                <w:sz w:val="17"/>
              </w:rPr>
              <w:t xml:space="preserve">Status</w:t>
            </w:r>
          </w:p>
        </w:tc>
        <w:tc>
          <w:tcPr>
            <w:tcW w:type="dxa" w:w="2749"/>
            <w:shd w:fill="EAE5DA"/>
          </w:tcPr>
          <w:p>
            <w:pPr>
              <w:pStyle w:val="BodyText"/>
              <w:keepNext w:val="0"/>
              <w:spacing w:after="80" w:line="252" w:lineRule="auto"/>
              <w:jc w:val="left"/>
            </w:pPr>
            <w:r>
              <w:rPr>
                <w:rFonts w:ascii="Calibri" w:hAnsi="Calibri"/>
                <w:b/>
                <w:sz w:val="17"/>
              </w:rPr>
              <w:t xml:space="preserve">Content</w:t>
            </w:r>
          </w:p>
        </w:tc>
        <w:tc>
          <w:tcPr>
            <w:tcW w:type="dxa" w:w="2749"/>
            <w:shd w:fill="EAE5DA"/>
          </w:tcPr>
          <w:p>
            <w:pPr>
              <w:pStyle w:val="BodyText"/>
              <w:keepNext w:val="0"/>
              <w:spacing w:after="80" w:line="252" w:lineRule="auto"/>
              <w:jc w:val="left"/>
            </w:pPr>
            <w:r>
              <w:rPr>
                <w:rFonts w:ascii="Calibri" w:hAnsi="Calibri"/>
                <w:b/>
                <w:sz w:val="17"/>
              </w:rPr>
              <w:t xml:space="preserve">Deletion diagnostic</w:t>
            </w:r>
          </w:p>
        </w:tc>
      </w:tr>
      <w:tr>
        <w:tc>
          <w:tcPr>
            <w:tcW w:type="dxa" w:w="1689"/>
          </w:tcPr>
          <w:p>
            <w:pPr>
              <w:pStyle w:val="BodyText"/>
              <w:keepNext w:val="0"/>
              <w:spacing w:after="80" w:line="252" w:lineRule="auto"/>
              <w:jc w:val="left"/>
            </w:pPr>
            <w:r>
              <w:rPr>
                <w:rFonts w:ascii="Calibri" w:hAnsi="Calibri"/>
                <w:sz w:val="17"/>
              </w:rPr>
              <w:t xml:space="preserve">U Source underivation</w:t>
            </w:r>
          </w:p>
        </w:tc>
        <w:tc>
          <w:tcPr>
            <w:tcW w:type="dxa" w:w="2749"/>
          </w:tcPr>
          <w:p>
            <w:pPr>
              <w:pStyle w:val="BodyText"/>
              <w:keepNext w:val="0"/>
              <w:spacing w:after="80" w:line="252" w:lineRule="auto"/>
              <w:jc w:val="left"/>
            </w:pPr>
            <w:r>
              <w:rPr>
                <w:rFonts w:ascii="Calibri" w:hAnsi="Calibri"/>
                <w:sz w:val="17"/>
              </w:rPr>
              <w:t xml:space="preserve">Inherited premise</w:t>
            </w:r>
          </w:p>
        </w:tc>
        <w:tc>
          <w:tcPr>
            <w:tcW w:type="dxa" w:w="2749"/>
          </w:tcPr>
          <w:p>
            <w:pPr>
              <w:pStyle w:val="BodyText"/>
              <w:keepNext w:val="0"/>
              <w:spacing w:after="80" w:line="252" w:lineRule="auto"/>
              <w:jc w:val="left"/>
            </w:pPr>
            <w:r>
              <w:rPr>
                <w:rFonts w:ascii="Calibri" w:hAnsi="Calibri"/>
                <w:sz w:val="17"/>
              </w:rPr>
              <w:t xml:space="preserve">No constitutive grounding of source actuality in something else.</w:t>
            </w:r>
          </w:p>
        </w:tc>
        <w:tc>
          <w:tcPr>
            <w:tcW w:type="dxa" w:w="2749"/>
          </w:tcPr>
          <w:p>
            <w:pPr>
              <w:pStyle w:val="BodyText"/>
              <w:keepNext w:val="0"/>
              <w:spacing w:after="80" w:line="252" w:lineRule="auto"/>
              <w:jc w:val="left"/>
            </w:pPr>
            <w:r>
              <w:rPr>
                <w:rFonts w:ascii="Calibri" w:hAnsi="Calibri"/>
                <w:sz w:val="17"/>
              </w:rPr>
              <w:t xml:space="preserve">A source may receive actuality or depend on constituents. Other retained simplicity theses could still block some cases; this toggle tracks this proof only.</w:t>
            </w:r>
          </w:p>
        </w:tc>
      </w:tr>
      <w:tr>
        <w:tc>
          <w:tcPr>
            <w:tcW w:type="dxa" w:w="1689"/>
          </w:tcPr>
          <w:p>
            <w:pPr>
              <w:pStyle w:val="BodyText"/>
              <w:keepNext w:val="0"/>
              <w:spacing w:after="80" w:line="252" w:lineRule="auto"/>
              <w:jc w:val="left"/>
            </w:pPr>
            <w:r>
              <w:rPr>
                <w:rFonts w:ascii="Calibri" w:hAnsi="Calibri"/>
                <w:sz w:val="17"/>
              </w:rPr>
              <w:t xml:space="preserve">KD Constitution grounds dependence</w:t>
            </w:r>
          </w:p>
        </w:tc>
        <w:tc>
          <w:tcPr>
            <w:tcW w:type="dxa" w:w="2749"/>
          </w:tcPr>
          <w:p>
            <w:pPr>
              <w:pStyle w:val="BodyText"/>
              <w:keepNext w:val="0"/>
              <w:spacing w:after="80" w:line="252" w:lineRule="auto"/>
              <w:jc w:val="left"/>
            </w:pPr>
            <w:r>
              <w:rPr>
                <w:rFonts w:ascii="Calibri" w:hAnsi="Calibri"/>
                <w:sz w:val="17"/>
              </w:rPr>
              <w:t xml:space="preserve">Inherited bridge</w:t>
            </w:r>
          </w:p>
        </w:tc>
        <w:tc>
          <w:tcPr>
            <w:tcW w:type="dxa" w:w="2749"/>
          </w:tcPr>
          <w:p>
            <w:pPr>
              <w:pStyle w:val="BodyText"/>
              <w:keepNext w:val="0"/>
              <w:spacing w:after="80" w:line="252" w:lineRule="auto"/>
              <w:jc w:val="left"/>
            </w:pPr>
            <w:r>
              <w:rPr>
                <w:rFonts w:ascii="Calibri" w:hAnsi="Calibri"/>
                <w:sz w:val="17"/>
              </w:rPr>
              <w:t xml:space="preserve">Proper intrinsic constituents contribute grounds of the whole’s actuality.</w:t>
            </w:r>
          </w:p>
        </w:tc>
        <w:tc>
          <w:tcPr>
            <w:tcW w:type="dxa" w:w="2749"/>
          </w:tcPr>
          <w:p>
            <w:pPr>
              <w:pStyle w:val="BodyText"/>
              <w:keepNext w:val="0"/>
              <w:spacing w:after="80" w:line="252" w:lineRule="auto"/>
              <w:jc w:val="left"/>
            </w:pPr>
            <w:r>
              <w:rPr>
                <w:rFonts w:ascii="Calibri" w:hAnsi="Calibri"/>
                <w:sz w:val="17"/>
              </w:rPr>
              <w:t xml:space="preserve">An efficiently uncaused or brute composite can evade the source noncomposition argument.</w:t>
            </w:r>
          </w:p>
        </w:tc>
      </w:tr>
      <w:tr>
        <w:tc>
          <w:tcPr>
            <w:tcW w:type="dxa" w:w="1689"/>
          </w:tcPr>
          <w:p>
            <w:pPr>
              <w:pStyle w:val="BodyText"/>
              <w:keepNext w:val="0"/>
              <w:spacing w:after="80" w:line="252" w:lineRule="auto"/>
              <w:jc w:val="left"/>
            </w:pPr>
            <w:r>
              <w:rPr>
                <w:rFonts w:ascii="Calibri" w:hAnsi="Calibri"/>
                <w:sz w:val="17"/>
              </w:rPr>
              <w:t xml:space="preserve">F Unbounded / bounded actuality profile</w:t>
            </w:r>
          </w:p>
        </w:tc>
        <w:tc>
          <w:tcPr>
            <w:tcW w:type="dxa" w:w="2749"/>
          </w:tcPr>
          <w:p>
            <w:pPr>
              <w:pStyle w:val="BodyText"/>
              <w:keepNext w:val="0"/>
              <w:spacing w:after="80" w:line="252" w:lineRule="auto"/>
              <w:jc w:val="left"/>
            </w:pPr>
            <w:r>
              <w:rPr>
                <w:rFonts w:ascii="Calibri" w:hAnsi="Calibri"/>
                <w:sz w:val="17"/>
              </w:rPr>
              <w:t xml:space="preserve">Inherited profile</w:t>
            </w:r>
          </w:p>
        </w:tc>
        <w:tc>
          <w:tcPr>
            <w:tcW w:type="dxa" w:w="2749"/>
          </w:tcPr>
          <w:p>
            <w:pPr>
              <w:pStyle w:val="BodyText"/>
              <w:keepNext w:val="0"/>
              <w:spacing w:after="80" w:line="252" w:lineRule="auto"/>
              <w:jc w:val="left"/>
            </w:pPr>
            <w:r>
              <w:rPr>
                <w:rFonts w:ascii="Calibri" w:hAnsi="Calibri"/>
                <w:sz w:val="17"/>
              </w:rPr>
              <w:t xml:space="preserve">FS and FC compare source and created actuality in respect e.</w:t>
            </w:r>
          </w:p>
        </w:tc>
        <w:tc>
          <w:tcPr>
            <w:tcW w:type="dxa" w:w="2749"/>
          </w:tcPr>
          <w:p>
            <w:pPr>
              <w:pStyle w:val="BodyText"/>
              <w:keepNext w:val="0"/>
              <w:spacing w:after="80" w:line="252" w:lineRule="auto"/>
              <w:jc w:val="left"/>
            </w:pPr>
            <w:r>
              <w:rPr>
                <w:rFonts w:ascii="Calibri" w:hAnsi="Calibri"/>
                <w:sz w:val="17"/>
              </w:rPr>
              <w:t xml:space="preserve">Finite effects need not fall below source measure. Infinity and finitude do not establish alternatives even when retained.</w:t>
            </w:r>
          </w:p>
        </w:tc>
      </w:tr>
      <w:tr>
        <w:tc>
          <w:tcPr>
            <w:tcW w:type="dxa" w:w="1689"/>
          </w:tcPr>
          <w:p>
            <w:pPr>
              <w:pStyle w:val="BodyText"/>
              <w:keepNext w:val="0"/>
              <w:spacing w:after="80" w:line="252" w:lineRule="auto"/>
              <w:jc w:val="left"/>
            </w:pPr>
            <w:r>
              <w:rPr>
                <w:rFonts w:ascii="Calibri" w:hAnsi="Calibri"/>
                <w:sz w:val="17"/>
              </w:rPr>
              <w:t xml:space="preserve">M Live creation alternatives</w:t>
            </w:r>
          </w:p>
        </w:tc>
        <w:tc>
          <w:tcPr>
            <w:tcW w:type="dxa" w:w="2749"/>
          </w:tcPr>
          <w:p>
            <w:pPr>
              <w:pStyle w:val="BodyText"/>
              <w:keepNext w:val="0"/>
              <w:spacing w:after="80" w:line="252" w:lineRule="auto"/>
              <w:jc w:val="left"/>
            </w:pPr>
            <w:r>
              <w:rPr>
                <w:rFonts w:ascii="Calibri" w:hAnsi="Calibri"/>
                <w:sz w:val="17"/>
              </w:rPr>
              <w:t xml:space="preserve">Additional premise</w:t>
            </w:r>
          </w:p>
        </w:tc>
        <w:tc>
          <w:tcPr>
            <w:tcW w:type="dxa" w:w="2749"/>
          </w:tcPr>
          <w:p>
            <w:pPr>
              <w:pStyle w:val="BodyText"/>
              <w:keepNext w:val="0"/>
              <w:spacing w:after="80" w:line="252" w:lineRule="auto"/>
              <w:jc w:val="left"/>
            </w:pPr>
            <w:r>
              <w:rPr>
                <w:rFonts w:ascii="Calibri" w:hAnsi="Calibri"/>
                <w:sz w:val="17"/>
              </w:rPr>
              <w:t xml:space="preserve">Admissible orders A, B, and no creation; their metaphysical possibility is asserted and needs warrant.</w:t>
            </w:r>
          </w:p>
        </w:tc>
        <w:tc>
          <w:tcPr>
            <w:tcW w:type="dxa" w:w="2749"/>
          </w:tcPr>
          <w:p>
            <w:pPr>
              <w:pStyle w:val="BodyText"/>
              <w:keepNext w:val="0"/>
              <w:spacing w:after="80" w:line="252" w:lineRule="auto"/>
              <w:jc w:val="left"/>
            </w:pPr>
            <w:r>
              <w:rPr>
                <w:rFonts w:ascii="Calibri" w:hAnsi="Calibri"/>
                <w:sz w:val="17"/>
              </w:rPr>
              <w:t xml:space="preserve">A necessary finite emanation remains compatible with the participation profile.</w:t>
            </w:r>
          </w:p>
        </w:tc>
      </w:tr>
      <w:tr>
        <w:tc>
          <w:tcPr>
            <w:tcW w:type="dxa" w:w="1689"/>
          </w:tcPr>
          <w:p>
            <w:pPr>
              <w:pStyle w:val="BodyText"/>
              <w:keepNext w:val="0"/>
              <w:spacing w:after="80" w:line="252" w:lineRule="auto"/>
              <w:jc w:val="left"/>
            </w:pPr>
            <w:r>
              <w:rPr>
                <w:rFonts w:ascii="Calibri" w:hAnsi="Calibri"/>
                <w:sz w:val="17"/>
              </w:rPr>
              <w:t xml:space="preserve">I Intelligible reasons and possibilities</w:t>
            </w:r>
          </w:p>
        </w:tc>
        <w:tc>
          <w:tcPr>
            <w:tcW w:type="dxa" w:w="2749"/>
          </w:tcPr>
          <w:p>
            <w:pPr>
              <w:pStyle w:val="BodyText"/>
              <w:keepNext w:val="0"/>
              <w:spacing w:after="80" w:line="252" w:lineRule="auto"/>
              <w:jc w:val="left"/>
            </w:pPr>
            <w:r>
              <w:rPr>
                <w:rFonts w:ascii="Calibri" w:hAnsi="Calibri"/>
                <w:sz w:val="17"/>
              </w:rPr>
              <w:t xml:space="preserve">Additional premise</w:t>
            </w:r>
          </w:p>
        </w:tc>
        <w:tc>
          <w:tcPr>
            <w:tcW w:type="dxa" w:w="2749"/>
          </w:tcPr>
          <w:p>
            <w:pPr>
              <w:pStyle w:val="BodyText"/>
              <w:keepNext w:val="0"/>
              <w:spacing w:after="80" w:line="252" w:lineRule="auto"/>
              <w:jc w:val="left"/>
            </w:pPr>
            <w:r>
              <w:rPr>
                <w:rFonts w:ascii="Calibri" w:hAnsi="Calibri"/>
                <w:sz w:val="17"/>
              </w:rPr>
              <w:t xml:space="preserve">The source understands possible expressions and their goods. Intelligence needs a positive-perfection bridge; producing cognition alone is weaker.</w:t>
            </w:r>
          </w:p>
        </w:tc>
        <w:tc>
          <w:tcPr>
            <w:tcW w:type="dxa" w:w="2749"/>
          </w:tcPr>
          <w:p>
            <w:pPr>
              <w:pStyle w:val="BodyText"/>
              <w:keepNext w:val="0"/>
              <w:spacing w:after="80" w:line="252" w:lineRule="auto"/>
              <w:jc w:val="left"/>
            </w:pPr>
            <w:r>
              <w:rPr>
                <w:rFonts w:ascii="Calibri" w:hAnsi="Calibri"/>
                <w:sz w:val="17"/>
              </w:rPr>
              <w:t xml:space="preserve">A choice made by the agent can remain uncomprehending; alternatives alone supply no rational understanding.</w:t>
            </w:r>
          </w:p>
        </w:tc>
      </w:tr>
      <w:tr>
        <w:tc>
          <w:tcPr>
            <w:tcW w:type="dxa" w:w="1689"/>
          </w:tcPr>
          <w:p>
            <w:pPr>
              <w:pStyle w:val="BodyText"/>
              <w:keepNext w:val="0"/>
              <w:spacing w:after="80" w:line="252" w:lineRule="auto"/>
              <w:jc w:val="left"/>
            </w:pPr>
            <w:r>
              <w:rPr>
                <w:rFonts w:ascii="Calibri" w:hAnsi="Calibri"/>
                <w:sz w:val="17"/>
              </w:rPr>
              <w:t xml:space="preserve">A Control of the action</w:t>
            </w:r>
          </w:p>
        </w:tc>
        <w:tc>
          <w:tcPr>
            <w:tcW w:type="dxa" w:w="2749"/>
          </w:tcPr>
          <w:p>
            <w:pPr>
              <w:pStyle w:val="BodyText"/>
              <w:keepNext w:val="0"/>
              <w:spacing w:after="80" w:line="252" w:lineRule="auto"/>
              <w:jc w:val="left"/>
            </w:pPr>
            <w:r>
              <w:rPr>
                <w:rFonts w:ascii="Calibri" w:hAnsi="Calibri"/>
                <w:sz w:val="17"/>
              </w:rPr>
              <w:t xml:space="preserve">Agency proposal</w:t>
            </w:r>
          </w:p>
        </w:tc>
        <w:tc>
          <w:tcPr>
            <w:tcW w:type="dxa" w:w="2749"/>
          </w:tcPr>
          <w:p>
            <w:pPr>
              <w:pStyle w:val="BodyText"/>
              <w:keepNext w:val="0"/>
              <w:spacing w:after="80" w:line="252" w:lineRule="auto"/>
              <w:jc w:val="left"/>
            </w:pPr>
            <w:r>
              <w:rPr>
                <w:rFonts w:ascii="Calibri" w:hAnsi="Calibri"/>
                <w:sz w:val="17"/>
              </w:rPr>
              <w:t xml:space="preserve">The actual choice originates in the source’s intentional control. A reason can render it intelligible without uniquely necessitating it.</w:t>
            </w:r>
          </w:p>
        </w:tc>
        <w:tc>
          <w:tcPr>
            <w:tcW w:type="dxa" w:w="2749"/>
          </w:tcPr>
          <w:p>
            <w:pPr>
              <w:pStyle w:val="BodyText"/>
              <w:keepNext w:val="0"/>
              <w:spacing w:after="80" w:line="252" w:lineRule="auto"/>
              <w:jc w:val="left"/>
            </w:pPr>
            <w:r>
              <w:rPr>
                <w:rFonts w:ascii="Calibri" w:hAnsi="Calibri"/>
                <w:sz w:val="17"/>
              </w:rPr>
              <w:t xml:space="preserve">An impersonal spontaneous process can select among alternatives while every effect remains source-dependent.</w:t>
            </w:r>
          </w:p>
        </w:tc>
      </w:tr>
      <w:tr>
        <w:tc>
          <w:tcPr>
            <w:tcW w:type="dxa" w:w="1689"/>
          </w:tcPr>
          <w:p>
            <w:pPr>
              <w:pStyle w:val="BodyText"/>
              <w:keepNext w:val="0"/>
              <w:spacing w:after="80" w:line="252" w:lineRule="auto"/>
              <w:jc w:val="left"/>
            </w:pPr>
            <w:r>
              <w:rPr>
                <w:rFonts w:ascii="Calibri" w:hAnsi="Calibri"/>
                <w:sz w:val="17"/>
              </w:rPr>
              <w:t xml:space="preserve">T Intention and effect correspond</w:t>
            </w:r>
          </w:p>
        </w:tc>
        <w:tc>
          <w:tcPr>
            <w:tcW w:type="dxa" w:w="2749"/>
          </w:tcPr>
          <w:p>
            <w:pPr>
              <w:pStyle w:val="BodyText"/>
              <w:keepNext w:val="0"/>
              <w:spacing w:after="80" w:line="252" w:lineRule="auto"/>
              <w:jc w:val="left"/>
            </w:pPr>
            <w:r>
              <w:rPr>
                <w:rFonts w:ascii="Calibri" w:hAnsi="Calibri"/>
                <w:sz w:val="17"/>
              </w:rPr>
              <w:t xml:space="preserve">Specification proposal</w:t>
            </w:r>
          </w:p>
        </w:tc>
        <w:tc>
          <w:tcPr>
            <w:tcW w:type="dxa" w:w="2749"/>
          </w:tcPr>
          <w:p>
            <w:pPr>
              <w:pStyle w:val="BodyText"/>
              <w:keepNext w:val="0"/>
              <w:spacing w:after="80" w:line="252" w:lineRule="auto"/>
              <w:jc w:val="left"/>
            </w:pPr>
            <w:r>
              <w:rPr>
                <w:rFonts w:ascii="Calibri" w:hAnsi="Calibri"/>
                <w:sz w:val="17"/>
              </w:rPr>
              <w:t xml:space="preserve">The agent’s action realizes its intended plan as an actual effect. A label on the effect is insufficient.</w:t>
            </w:r>
          </w:p>
        </w:tc>
        <w:tc>
          <w:tcPr>
            <w:tcW w:type="dxa" w:w="2749"/>
          </w:tcPr>
          <w:p>
            <w:pPr>
              <w:pStyle w:val="BodyText"/>
              <w:keepNext w:val="0"/>
              <w:spacing w:after="80" w:line="252" w:lineRule="auto"/>
              <w:jc w:val="left"/>
            </w:pPr>
            <w:r>
              <w:rPr>
                <w:rFonts w:ascii="Calibri" w:hAnsi="Calibri"/>
                <w:sz w:val="17"/>
              </w:rPr>
              <w:t xml:space="preserve">An intended plan need not coincide with the actual outcome. Other specification ontologies may supply a substitute.</w:t>
            </w:r>
          </w:p>
        </w:tc>
      </w:tr>
      <w:tr>
        <w:tc>
          <w:tcPr>
            <w:tcW w:type="dxa" w:w="1689"/>
          </w:tcPr>
          <w:p>
            <w:pPr>
              <w:pStyle w:val="BodyText"/>
              <w:keepNext w:val="0"/>
              <w:spacing w:after="80" w:line="252" w:lineRule="auto"/>
              <w:jc w:val="left"/>
            </w:pPr>
            <w:r>
              <w:rPr>
                <w:rFonts w:ascii="Calibri" w:hAnsi="Calibri"/>
                <w:sz w:val="17"/>
              </w:rPr>
              <w:t xml:space="preserve">R Awareness of the actual action</w:t>
            </w:r>
          </w:p>
        </w:tc>
        <w:tc>
          <w:tcPr>
            <w:tcW w:type="dxa" w:w="2749"/>
          </w:tcPr>
          <w:p>
            <w:pPr>
              <w:pStyle w:val="BodyText"/>
              <w:keepNext w:val="0"/>
              <w:spacing w:after="80" w:line="252" w:lineRule="auto"/>
              <w:jc w:val="left"/>
            </w:pPr>
            <w:r>
              <w:rPr>
                <w:rFonts w:ascii="Calibri" w:hAnsi="Calibri"/>
                <w:sz w:val="17"/>
              </w:rPr>
              <w:t xml:space="preserve">Epistemic proposal</w:t>
            </w:r>
          </w:p>
        </w:tc>
        <w:tc>
          <w:tcPr>
            <w:tcW w:type="dxa" w:w="2749"/>
          </w:tcPr>
          <w:p>
            <w:pPr>
              <w:pStyle w:val="BodyText"/>
              <w:keepNext w:val="0"/>
              <w:spacing w:after="80" w:line="252" w:lineRule="auto"/>
              <w:jc w:val="left"/>
            </w:pPr>
            <w:r>
              <w:rPr>
                <w:rFonts w:ascii="Calibri" w:hAnsi="Calibri"/>
                <w:sz w:val="17"/>
              </w:rPr>
              <w:t xml:space="preserve">Awareness discloses the source’s actual choice, rather than just its capacity or possible plans. Whether this counts as knowledge is examined separately.</w:t>
            </w:r>
          </w:p>
        </w:tc>
        <w:tc>
          <w:tcPr>
            <w:tcW w:type="dxa" w:w="2749"/>
          </w:tcPr>
          <w:p>
            <w:pPr>
              <w:pStyle w:val="BodyText"/>
              <w:keepNext w:val="0"/>
              <w:spacing w:after="80" w:line="252" w:lineRule="auto"/>
              <w:jc w:val="left"/>
            </w:pPr>
            <w:r>
              <w:rPr>
                <w:rFonts w:ascii="Calibri" w:hAnsi="Calibri"/>
                <w:sz w:val="17"/>
              </w:rPr>
              <w:t xml:space="preserve">Possibilities remain known while which exercise is actual is not disclosed. Other non-receptive epistemologies remain possible.</w:t>
            </w:r>
          </w:p>
        </w:tc>
      </w:tr>
      <w:tr>
        <w:tc>
          <w:tcPr>
            <w:tcW w:type="dxa" w:w="1689"/>
          </w:tcPr>
          <w:p>
            <w:pPr>
              <w:pStyle w:val="BodyText"/>
              <w:keepNext w:val="0"/>
              <w:spacing w:after="80" w:line="252" w:lineRule="auto"/>
              <w:jc w:val="left"/>
            </w:pPr>
            <w:r>
              <w:rPr>
                <w:rFonts w:ascii="Calibri" w:hAnsi="Calibri"/>
                <w:sz w:val="17"/>
              </w:rPr>
              <w:t xml:space="preserve">CT The action discloses its effect</w:t>
            </w:r>
          </w:p>
        </w:tc>
        <w:tc>
          <w:tcPr>
            <w:tcW w:type="dxa" w:w="2749"/>
          </w:tcPr>
          <w:p>
            <w:pPr>
              <w:pStyle w:val="BodyText"/>
              <w:keepNext w:val="0"/>
              <w:spacing w:after="80" w:line="252" w:lineRule="auto"/>
              <w:jc w:val="left"/>
            </w:pPr>
            <w:r>
              <w:rPr>
                <w:rFonts w:ascii="Calibri" w:hAnsi="Calibri"/>
                <w:sz w:val="17"/>
              </w:rPr>
              <w:t xml:space="preserve">Epistemic proposal</w:t>
            </w:r>
          </w:p>
        </w:tc>
        <w:tc>
          <w:tcPr>
            <w:tcW w:type="dxa" w:w="2749"/>
          </w:tcPr>
          <w:p>
            <w:pPr>
              <w:pStyle w:val="BodyText"/>
              <w:keepNext w:val="0"/>
              <w:spacing w:after="80" w:line="252" w:lineRule="auto"/>
              <w:jc w:val="left"/>
            </w:pPr>
            <w:r>
              <w:rPr>
                <w:rFonts w:ascii="Calibri" w:hAnsi="Calibri"/>
                <w:sz w:val="17"/>
              </w:rPr>
              <w:t xml:space="preserve">Awareness of the actual action adequately discloses its actual effect.</w:t>
            </w:r>
          </w:p>
        </w:tc>
        <w:tc>
          <w:tcPr>
            <w:tcW w:type="dxa" w:w="2749"/>
          </w:tcPr>
          <w:p>
            <w:pPr>
              <w:pStyle w:val="BodyText"/>
              <w:keepNext w:val="0"/>
              <w:spacing w:after="80" w:line="252" w:lineRule="auto"/>
              <w:jc w:val="left"/>
            </w:pPr>
            <w:r>
              <w:rPr>
                <w:rFonts w:ascii="Calibri" w:hAnsi="Calibri"/>
                <w:sz w:val="17"/>
              </w:rPr>
              <w:t xml:space="preserve">Awareness of one’s action need not disclose every external result. Scope and adequacy still need defending.</w:t>
            </w:r>
          </w:p>
        </w:tc>
      </w:tr>
      <w:tr>
        <w:tc>
          <w:tcPr>
            <w:tcW w:type="dxa" w:w="1689"/>
          </w:tcPr>
          <w:p>
            <w:pPr>
              <w:pStyle w:val="BodyText"/>
              <w:keepNext w:val="0"/>
              <w:spacing w:after="80" w:line="252" w:lineRule="auto"/>
              <w:jc w:val="left"/>
            </w:pPr>
            <w:r>
              <w:rPr>
                <w:rFonts w:ascii="Calibri" w:hAnsi="Calibri"/>
                <w:sz w:val="17"/>
              </w:rPr>
              <w:t xml:space="preserve">X Same intrinsic actuality across alternatives</w:t>
            </w:r>
          </w:p>
        </w:tc>
        <w:tc>
          <w:tcPr>
            <w:tcW w:type="dxa" w:w="2749"/>
          </w:tcPr>
          <w:p>
            <w:pPr>
              <w:pStyle w:val="BodyText"/>
              <w:keepNext w:val="0"/>
              <w:spacing w:after="80" w:line="252" w:lineRule="auto"/>
              <w:jc w:val="left"/>
            </w:pPr>
            <w:r>
              <w:rPr>
                <w:rFonts w:ascii="Calibri" w:hAnsi="Calibri"/>
                <w:sz w:val="17"/>
              </w:rPr>
              <w:t xml:space="preserve">Optional compatibility commitment</w:t>
            </w:r>
          </w:p>
        </w:tc>
        <w:tc>
          <w:tcPr>
            <w:tcW w:type="dxa" w:w="2749"/>
          </w:tcPr>
          <w:p>
            <w:pPr>
              <w:pStyle w:val="BodyText"/>
              <w:keepNext w:val="0"/>
              <w:spacing w:after="80" w:line="252" w:lineRule="auto"/>
              <w:jc w:val="left"/>
            </w:pPr>
            <w:r>
              <w:rPr>
                <w:rFonts w:ascii="Calibri" w:hAnsi="Calibri"/>
                <w:sz w:val="17"/>
              </w:rPr>
              <w:t xml:space="preserve">The source’s intrinsic profile is invariant across admitted created outcomes. Neither noncomposition nor temporal changelessness establishes this.</w:t>
            </w:r>
          </w:p>
        </w:tc>
        <w:tc>
          <w:tcPr>
            <w:tcW w:type="dxa" w:w="2749"/>
          </w:tcPr>
          <w:p>
            <w:pPr>
              <w:pStyle w:val="BodyText"/>
              <w:keepNext w:val="0"/>
              <w:spacing w:after="80" w:line="252" w:lineRule="auto"/>
              <w:jc w:val="left"/>
            </w:pPr>
            <w:r>
              <w:rPr>
                <w:rFonts w:ascii="Calibri" w:hAnsi="Calibri"/>
                <w:sz w:val="17"/>
              </w:rPr>
              <w:t xml:space="preserve">A rival can vary intrinsic intention across worlds while remaining noncomposite and underived.</w:t>
            </w:r>
          </w:p>
        </w:tc>
      </w:tr>
      <w:tr>
        <w:tc>
          <w:tcPr>
            <w:tcW w:type="dxa" w:w="1689"/>
          </w:tcPr>
          <w:p>
            <w:pPr>
              <w:pStyle w:val="BodyText"/>
              <w:keepNext w:val="0"/>
              <w:spacing w:after="80" w:line="252" w:lineRule="auto"/>
              <w:jc w:val="left"/>
            </w:pPr>
            <w:r>
              <w:rPr>
                <w:rFonts w:ascii="Calibri" w:hAnsi="Calibri"/>
                <w:sz w:val="17"/>
              </w:rPr>
              <w:t xml:space="preserve">EP Warrant for knowledge through one’s action</w:t>
            </w:r>
          </w:p>
        </w:tc>
        <w:tc>
          <w:tcPr>
            <w:tcW w:type="dxa" w:w="2749"/>
          </w:tcPr>
          <w:p>
            <w:pPr>
              <w:pStyle w:val="BodyText"/>
              <w:keepNext w:val="0"/>
              <w:spacing w:after="80" w:line="252" w:lineRule="auto"/>
              <w:jc w:val="left"/>
            </w:pPr>
            <w:r>
              <w:rPr>
                <w:rFonts w:ascii="Calibri" w:hAnsi="Calibri"/>
                <w:sz w:val="17"/>
              </w:rPr>
              <w:t xml:space="preserve">Epistemic bridge</w:t>
            </w:r>
          </w:p>
        </w:tc>
        <w:tc>
          <w:tcPr>
            <w:tcW w:type="dxa" w:w="2749"/>
          </w:tcPr>
          <w:p>
            <w:pPr>
              <w:pStyle w:val="BodyText"/>
              <w:keepNext w:val="0"/>
              <w:spacing w:after="80" w:line="252" w:lineRule="auto"/>
              <w:jc w:val="left"/>
            </w:pPr>
            <w:r>
              <w:rPr>
                <w:rFonts w:ascii="Calibri" w:hAnsi="Calibri"/>
                <w:sz w:val="17"/>
              </w:rPr>
              <w:t xml:space="preserve">Accurate awareness of the action and its effect counts as knowledge only with adequate warrant. Accuracy alone is insufficient.</w:t>
            </w:r>
          </w:p>
        </w:tc>
        <w:tc>
          <w:tcPr>
            <w:tcW w:type="dxa" w:w="2749"/>
          </w:tcPr>
          <w:p>
            <w:pPr>
              <w:pStyle w:val="BodyText"/>
              <w:keepNext w:val="0"/>
              <w:spacing w:after="80" w:line="252" w:lineRule="auto"/>
              <w:jc w:val="left"/>
            </w:pPr>
            <w:r>
              <w:rPr>
                <w:rFonts w:ascii="Calibri" w:hAnsi="Calibri"/>
                <w:sz w:val="17"/>
              </w:rPr>
              <w:t xml:space="preserve">Correct access records may coexist with an unsupported knowledge claim. If R is instead defined as fully warranted knowledge, this bridge is absorbed into that stronger premise.</w:t>
            </w:r>
          </w:p>
        </w:tc>
      </w:tr>
    </w:tbl>
    <w:p/>
    <w:tbl>
      <w:tblPr>
        <w:tblStyle w:val="TableGrid"/>
        <w:tblW w:type="dxa" w:w="9936"/>
        <w:jc w:val="left"/>
        <w:tblLayout w:type="fixed"/>
        <w:tblLook w:firstRow="1" w:lastRow="0" w:firstColumn="0" w:lastColumn="0" w:noHBand="0" w:noVBand="0" w:val="0020"/>
      </w:tblPr>
      <w:tblGrid>
        <w:gridCol w:w="3312"/>
        <w:gridCol w:w="3312"/>
        <w:gridCol w:w="3312"/>
      </w:tblGrid>
      <w:tr>
        <w:trPr>
          <w:tblHeader w:val="true"/>
        </w:trPr>
        <w:tc>
          <w:tcPr>
            <w:tcW w:type="dxa" w:w="3312"/>
            <w:shd w:fill="EAE5DA"/>
          </w:tcPr>
          <w:p>
            <w:pPr>
              <w:pStyle w:val="BodyText"/>
              <w:keepNext w:val="0"/>
              <w:spacing w:after="80" w:line="252" w:lineRule="auto"/>
              <w:jc w:val="left"/>
            </w:pPr>
            <w:r>
              <w:rPr>
                <w:rFonts w:ascii="Calibri" w:hAnsi="Calibri"/>
                <w:b/>
                <w:sz w:val="17"/>
              </w:rPr>
              <w:t xml:space="preserve">Proposed path</w:t>
            </w:r>
          </w:p>
        </w:tc>
        <w:tc>
          <w:tcPr>
            <w:tcW w:type="dxa" w:w="3312"/>
            <w:shd w:fill="EAE5DA"/>
          </w:tcPr>
          <w:p>
            <w:pPr>
              <w:pStyle w:val="BodyText"/>
              <w:keepNext w:val="0"/>
              <w:spacing w:after="80" w:line="252" w:lineRule="auto"/>
              <w:jc w:val="left"/>
            </w:pPr>
            <w:r>
              <w:rPr>
                <w:rFonts w:ascii="Calibri" w:hAnsi="Calibri"/>
                <w:b/>
                <w:sz w:val="17"/>
              </w:rPr>
              <w:t xml:space="preserve">Premises</w:t>
            </w:r>
          </w:p>
        </w:tc>
        <w:tc>
          <w:tcPr>
            <w:tcW w:type="dxa" w:w="3312"/>
            <w:shd w:fill="EAE5DA"/>
          </w:tcPr>
          <w:p>
            <w:pPr>
              <w:pStyle w:val="BodyText"/>
              <w:keepNext w:val="0"/>
              <w:spacing w:after="80" w:line="252" w:lineRule="auto"/>
              <w:jc w:val="left"/>
            </w:pPr>
            <w:r>
              <w:rPr>
                <w:rFonts w:ascii="Calibri" w:hAnsi="Calibri"/>
                <w:b/>
                <w:sz w:val="17"/>
              </w:rPr>
              <w:t xml:space="preserve">Exact status</w:t>
            </w:r>
          </w:p>
        </w:tc>
      </w:tr>
      <w:tr>
        <w:tc>
          <w:tcPr>
            <w:tcW w:type="dxa" w:w="3312"/>
          </w:tcPr>
          <w:p>
            <w:pPr>
              <w:pStyle w:val="BodyText"/>
              <w:keepNext w:val="0"/>
              <w:spacing w:after="80" w:line="252" w:lineRule="auto"/>
              <w:jc w:val="left"/>
            </w:pPr>
            <w:r>
              <w:rPr>
                <w:rFonts w:ascii="Calibri" w:hAnsi="Calibri"/>
                <w:sz w:val="17"/>
              </w:rPr>
              <w:t xml:space="preserve">Minimal noncomposition</w:t>
            </w:r>
          </w:p>
        </w:tc>
        <w:tc>
          <w:tcPr>
            <w:tcW w:type="dxa" w:w="3312"/>
          </w:tcPr>
          <w:p>
            <w:pPr>
              <w:pStyle w:val="BodyText"/>
              <w:keepNext w:val="0"/>
              <w:spacing w:after="80" w:line="252" w:lineRule="auto"/>
              <w:jc w:val="left"/>
            </w:pPr>
            <w:r>
              <w:rPr>
                <w:rFonts w:ascii="Calibri" w:hAnsi="Calibri"/>
                <w:sz w:val="17"/>
              </w:rPr>
              <w:t xml:space="preserve">U, KD</w:t>
            </w:r>
          </w:p>
        </w:tc>
        <w:tc>
          <w:tcPr>
            <w:tcW w:type="dxa" w:w="3312"/>
          </w:tcPr>
          <w:p>
            <w:pPr>
              <w:pStyle w:val="BodyText"/>
              <w:keepNext w:val="0"/>
              <w:spacing w:after="80" w:line="252" w:lineRule="auto"/>
              <w:jc w:val="left"/>
            </w:pPr>
            <w:r>
              <w:rPr>
                <w:rFonts w:ascii="Calibri" w:hAnsi="Calibri"/>
                <w:sz w:val="17"/>
              </w:rPr>
              <w:t xml:space="preserve">Conditional theorem: No proper intrinsic constituents, given the defended grounding bridge.</w:t>
            </w:r>
          </w:p>
        </w:tc>
      </w:tr>
      <w:tr>
        <w:tc>
          <w:tcPr>
            <w:tcW w:type="dxa" w:w="3312"/>
          </w:tcPr>
          <w:p>
            <w:pPr>
              <w:pStyle w:val="BodyText"/>
              <w:keepNext w:val="0"/>
              <w:spacing w:after="80" w:line="252" w:lineRule="auto"/>
              <w:jc w:val="left"/>
            </w:pPr>
            <w:r>
              <w:rPr>
                <w:rFonts w:ascii="Calibri" w:hAnsi="Calibri"/>
                <w:sz w:val="17"/>
              </w:rPr>
              <w:t xml:space="preserve">Finite non-exhaustion</w:t>
            </w:r>
          </w:p>
        </w:tc>
        <w:tc>
          <w:tcPr>
            <w:tcW w:type="dxa" w:w="3312"/>
          </w:tcPr>
          <w:p>
            <w:pPr>
              <w:pStyle w:val="BodyText"/>
              <w:keepNext w:val="0"/>
              <w:spacing w:after="80" w:line="252" w:lineRule="auto"/>
              <w:jc w:val="left"/>
            </w:pPr>
            <w:r>
              <w:rPr>
                <w:rFonts w:ascii="Calibri" w:hAnsi="Calibri"/>
                <w:sz w:val="17"/>
              </w:rPr>
              <w:t xml:space="preserve">F</w:t>
            </w:r>
          </w:p>
        </w:tc>
        <w:tc>
          <w:tcPr>
            <w:tcW w:type="dxa" w:w="3312"/>
          </w:tcPr>
          <w:p>
            <w:pPr>
              <w:pStyle w:val="BodyText"/>
              <w:keepNext w:val="0"/>
              <w:spacing w:after="80" w:line="252" w:lineRule="auto"/>
              <w:jc w:val="left"/>
            </w:pPr>
            <w:r>
              <w:rPr>
                <w:rFonts w:ascii="Calibri" w:hAnsi="Calibri"/>
                <w:sz w:val="17"/>
              </w:rPr>
              <w:t xml:space="preserve">Inherited conditional result: The selected source/receiver actuality measures are unequal; no contingency follows.</w:t>
            </w:r>
          </w:p>
        </w:tc>
      </w:tr>
      <w:tr>
        <w:tc>
          <w:tcPr>
            <w:tcW w:type="dxa" w:w="3312"/>
          </w:tcPr>
          <w:p>
            <w:pPr>
              <w:pStyle w:val="BodyText"/>
              <w:keepNext w:val="0"/>
              <w:spacing w:after="80" w:line="252" w:lineRule="auto"/>
              <w:jc w:val="left"/>
            </w:pPr>
            <w:r>
              <w:rPr>
                <w:rFonts w:ascii="Calibri" w:hAnsi="Calibri"/>
                <w:sz w:val="17"/>
              </w:rPr>
              <w:t xml:space="preserve">Whole-order alternatives</w:t>
            </w:r>
          </w:p>
        </w:tc>
        <w:tc>
          <w:tcPr>
            <w:tcW w:type="dxa" w:w="3312"/>
          </w:tcPr>
          <w:p>
            <w:pPr>
              <w:pStyle w:val="BodyText"/>
              <w:keepNext w:val="0"/>
              <w:spacing w:after="80" w:line="252" w:lineRule="auto"/>
              <w:jc w:val="left"/>
            </w:pPr>
            <w:r>
              <w:rPr>
                <w:rFonts w:ascii="Calibri" w:hAnsi="Calibri"/>
                <w:sz w:val="17"/>
              </w:rPr>
              <w:t xml:space="preserve">M</w:t>
            </w:r>
          </w:p>
        </w:tc>
        <w:tc>
          <w:tcPr>
            <w:tcW w:type="dxa" w:w="3312"/>
          </w:tcPr>
          <w:p>
            <w:pPr>
              <w:pStyle w:val="BodyText"/>
              <w:keepNext w:val="0"/>
              <w:spacing w:after="80" w:line="252" w:lineRule="auto"/>
              <w:jc w:val="left"/>
            </w:pPr>
            <w:r>
              <w:rPr>
                <w:rFonts w:ascii="Calibri" w:hAnsi="Calibri"/>
                <w:sz w:val="17"/>
              </w:rPr>
              <w:t xml:space="preserve">Additional modal premise: This is a disclosed extension, not a conclusion from infinity.</w:t>
            </w:r>
          </w:p>
        </w:tc>
      </w:tr>
      <w:tr>
        <w:tc>
          <w:tcPr>
            <w:tcW w:type="dxa" w:w="3312"/>
          </w:tcPr>
          <w:p>
            <w:pPr>
              <w:pStyle w:val="BodyText"/>
              <w:keepNext w:val="0"/>
              <w:spacing w:after="80" w:line="252" w:lineRule="auto"/>
              <w:jc w:val="left"/>
            </w:pPr>
            <w:r>
              <w:rPr>
                <w:rFonts w:ascii="Calibri" w:hAnsi="Calibri"/>
                <w:sz w:val="17"/>
              </w:rPr>
              <w:t xml:space="preserve">Intelligent intentional action</w:t>
            </w:r>
          </w:p>
        </w:tc>
        <w:tc>
          <w:tcPr>
            <w:tcW w:type="dxa" w:w="3312"/>
          </w:tcPr>
          <w:p>
            <w:pPr>
              <w:pStyle w:val="BodyText"/>
              <w:keepNext w:val="0"/>
              <w:spacing w:after="80" w:line="252" w:lineRule="auto"/>
              <w:jc w:val="left"/>
            </w:pPr>
            <w:r>
              <w:rPr>
                <w:rFonts w:ascii="Calibri" w:hAnsi="Calibri"/>
                <w:sz w:val="17"/>
              </w:rPr>
              <w:t xml:space="preserve">M, I, A</w:t>
            </w:r>
          </w:p>
        </w:tc>
        <w:tc>
          <w:tcPr>
            <w:tcW w:type="dxa" w:w="3312"/>
          </w:tcPr>
          <w:p>
            <w:pPr>
              <w:pStyle w:val="BodyText"/>
              <w:keepNext w:val="0"/>
              <w:spacing w:after="80" w:line="252" w:lineRule="auto"/>
              <w:jc w:val="left"/>
            </w:pPr>
            <w:r>
              <w:rPr>
                <w:rFonts w:ascii="Calibri" w:hAnsi="Calibri"/>
                <w:sz w:val="17"/>
              </w:rPr>
              <w:t xml:space="preserve">Conditional agency account: A control and intelligibility model is added; these are not established by the source profile.</w:t>
            </w:r>
          </w:p>
        </w:tc>
      </w:tr>
      <w:tr>
        <w:tc>
          <w:tcPr>
            <w:tcW w:type="dxa" w:w="3312"/>
          </w:tcPr>
          <w:p>
            <w:pPr>
              <w:pStyle w:val="BodyText"/>
              <w:keepNext w:val="0"/>
              <w:spacing w:after="80" w:line="252" w:lineRule="auto"/>
              <w:jc w:val="left"/>
            </w:pPr>
            <w:r>
              <w:rPr>
                <w:rFonts w:ascii="Calibri" w:hAnsi="Calibri"/>
                <w:sz w:val="17"/>
              </w:rPr>
              <w:t xml:space="preserve">The agent intentionally produces this effect</w:t>
            </w:r>
          </w:p>
        </w:tc>
        <w:tc>
          <w:tcPr>
            <w:tcW w:type="dxa" w:w="3312"/>
          </w:tcPr>
          <w:p>
            <w:pPr>
              <w:pStyle w:val="BodyText"/>
              <w:keepNext w:val="0"/>
              <w:spacing w:after="80" w:line="252" w:lineRule="auto"/>
              <w:jc w:val="left"/>
            </w:pPr>
            <w:r>
              <w:rPr>
                <w:rFonts w:ascii="Calibri" w:hAnsi="Calibri"/>
                <w:sz w:val="17"/>
              </w:rPr>
              <w:t xml:space="preserve">M, I, A, T</w:t>
            </w:r>
          </w:p>
        </w:tc>
        <w:tc>
          <w:tcPr>
            <w:tcW w:type="dxa" w:w="3312"/>
          </w:tcPr>
          <w:p>
            <w:pPr>
              <w:pStyle w:val="BodyText"/>
              <w:keepNext w:val="0"/>
              <w:spacing w:after="80" w:line="252" w:lineRule="auto"/>
              <w:jc w:val="left"/>
            </w:pPr>
            <w:r>
              <w:rPr>
                <w:rFonts w:ascii="Calibri" w:hAnsi="Calibri"/>
                <w:sz w:val="17"/>
              </w:rPr>
              <w:t xml:space="preserve">Candidate specification account: The added premise connects the chosen plan to the actual effect.</w:t>
            </w:r>
          </w:p>
        </w:tc>
      </w:tr>
      <w:tr>
        <w:tc>
          <w:tcPr>
            <w:tcW w:type="dxa" w:w="3312"/>
          </w:tcPr>
          <w:p>
            <w:pPr>
              <w:pStyle w:val="BodyText"/>
              <w:keepNext w:val="0"/>
              <w:spacing w:after="80" w:line="252" w:lineRule="auto"/>
              <w:jc w:val="left"/>
            </w:pPr>
            <w:r>
              <w:rPr>
                <w:rFonts w:ascii="Calibri" w:hAnsi="Calibri"/>
                <w:sz w:val="17"/>
              </w:rPr>
              <w:t xml:space="preserve">Action with the same intrinsic source actuality</w:t>
            </w:r>
          </w:p>
        </w:tc>
        <w:tc>
          <w:tcPr>
            <w:tcW w:type="dxa" w:w="3312"/>
          </w:tcPr>
          <w:p>
            <w:pPr>
              <w:pStyle w:val="BodyText"/>
              <w:keepNext w:val="0"/>
              <w:spacing w:after="80" w:line="252" w:lineRule="auto"/>
              <w:jc w:val="left"/>
            </w:pPr>
            <w:r>
              <w:rPr>
                <w:rFonts w:ascii="Calibri" w:hAnsi="Calibri"/>
                <w:sz w:val="17"/>
              </w:rPr>
              <w:t xml:space="preserve">U, KD, M, I, A, T, X</w:t>
            </w:r>
          </w:p>
        </w:tc>
        <w:tc>
          <w:tcPr>
            <w:tcW w:type="dxa" w:w="3312"/>
          </w:tcPr>
          <w:p>
            <w:pPr>
              <w:pStyle w:val="BodyText"/>
              <w:keepNext w:val="0"/>
              <w:spacing w:after="80" w:line="252" w:lineRule="auto"/>
              <w:jc w:val="left"/>
            </w:pPr>
            <w:r>
              <w:rPr>
                <w:rFonts w:ascii="Calibri" w:hAnsi="Calibri"/>
                <w:sz w:val="17"/>
              </w:rPr>
              <w:t xml:space="preserve">Candidate compatibility model: The relational account of intentional action still needs philosophical defense.</w:t>
            </w:r>
          </w:p>
        </w:tc>
      </w:tr>
      <w:tr>
        <w:tc>
          <w:tcPr>
            <w:tcW w:type="dxa" w:w="3312"/>
          </w:tcPr>
          <w:p>
            <w:pPr>
              <w:pStyle w:val="BodyText"/>
              <w:keepNext w:val="0"/>
              <w:spacing w:after="80" w:line="252" w:lineRule="auto"/>
              <w:jc w:val="left"/>
            </w:pPr>
            <w:r>
              <w:rPr>
                <w:rFonts w:ascii="Calibri" w:hAnsi="Calibri"/>
                <w:sz w:val="17"/>
              </w:rPr>
              <w:t xml:space="preserve">Knowledge of the effect through actual action</w:t>
            </w:r>
          </w:p>
        </w:tc>
        <w:tc>
          <w:tcPr>
            <w:tcW w:type="dxa" w:w="3312"/>
          </w:tcPr>
          <w:p>
            <w:pPr>
              <w:pStyle w:val="BodyText"/>
              <w:keepNext w:val="0"/>
              <w:spacing w:after="80" w:line="252" w:lineRule="auto"/>
              <w:jc w:val="left"/>
            </w:pPr>
            <w:r>
              <w:rPr>
                <w:rFonts w:ascii="Calibri" w:hAnsi="Calibri"/>
                <w:sz w:val="17"/>
              </w:rPr>
              <w:t xml:space="preserve">I, A, T, R, CT, EP</w:t>
            </w:r>
          </w:p>
        </w:tc>
        <w:tc>
          <w:tcPr>
            <w:tcW w:type="dxa" w:w="3312"/>
          </w:tcPr>
          <w:p>
            <w:pPr>
              <w:pStyle w:val="BodyText"/>
              <w:keepNext w:val="0"/>
              <w:spacing w:after="80" w:line="252" w:lineRule="auto"/>
              <w:jc w:val="left"/>
            </w:pPr>
            <w:r>
              <w:rPr>
                <w:rFonts w:ascii="Calibri" w:hAnsi="Calibri"/>
                <w:sz w:val="17"/>
              </w:rPr>
              <w:t xml:space="preserve">Conditional epistemic account: Awareness of the action, disclosure of its effect, and explicit warrant establish this limited knowledge. Non-receptive divine knowledge additionally requires an argument that this awareness is not acquired from the effect; omniscience requires further work.</w:t>
            </w:r>
          </w:p>
        </w:tc>
      </w:tr>
    </w:tbl>
    <w:bookmarkEnd w:id="195"/>
    <w:bookmarkStart w:id="196" w:name="distinct-arguments-one-architecture."/>
    <w:p>
      <w:pPr>
        <w:pStyle w:val="Heading3"/>
      </w:pPr>
      <w:r>
        <w:t xml:space="preserve">08 / Distinct arguments, one architecture.</w:t>
      </w:r>
    </w:p>
    <w:p>
      <w:pPr>
        <w:pStyle w:val="FirstParagraph"/>
      </w:pPr>
      <w:r>
        <w:rPr>
          <w:b/>
          <w:bCs/>
        </w:rPr>
        <w:t xml:space="preserve">Status:</w:t>
      </w:r>
      <w:r>
        <w:t xml:space="preserve"> </w:t>
      </w:r>
      <w:r>
        <w:t xml:space="preserve">Argument map.</w:t>
      </w:r>
    </w:p>
    <w:p>
      <w:pPr>
        <w:pStyle w:val="BodyText"/>
      </w:pPr>
      <w:r>
        <w:t xml:space="preserve">The arrows identify different explanatory jobs. A result about constitution cannot silently supply alternatives, intentional control, or cognitive warrant.</w:t>
      </w:r>
    </w:p>
    <w:p>
      <w:pPr>
        <w:pStyle w:val="BodyText"/>
      </w:pPr>
      <w:r>
        <w:t xml:space="preserve">The five working engines organize these tasks without pretending to be five metaphysical primitives. Determination–Realization asks what the relevant difference requires in reality. Dependence–Origin asks what supplies actuality, unity, or perfection. Possibility–Agency separates alternatives from actual choice. Manifestation–Measure asks what an action genuinely discloses. Goodness–Fulfillment asks why communication can be a good for its recipient without completing its source.</w:t>
      </w:r>
    </w:p>
    <w:p>
      <w:pPr>
        <w:pStyle w:val="BodyText"/>
      </w:pPr>
      <w:r>
        <w:t xml:space="preserve">Participation connects the inquiry to Part I: what is received is genuinely possessed by the creature. Intelligent exercise, expression of the source, and orientation toward fulfillment need further bridges. None is contained simply in the word</w:t>
      </w:r>
      <w:r>
        <w:t xml:space="preserve"> </w:t>
      </w:r>
      <w:r>
        <w:t xml:space="preserve">“</w:t>
      </w:r>
      <w:r>
        <w:t xml:space="preserve">received.</w:t>
      </w:r>
      <w:r>
        <w:t xml:space="preserve">”</w:t>
      </w:r>
    </w:p>
    <w:p>
      <w:pPr>
        <w:pStyle w:val="SourceCode"/>
      </w:pPr>
      <w:r>
        <w:rPr>
          <w:rStyle w:val="VerbatimChar"/>
        </w:rPr>
        <w:t xml:space="preserve">Adopted source profile</w:t>
      </w:r>
      <w:r>
        <w:br/>
      </w:r>
      <w:r>
        <w:rPr>
          <w:rStyle w:val="VerbatimChar"/>
        </w:rPr>
        <w:t xml:space="preserve">├─ U + KD → minimal noncomposition → separately examine stronger simplicity</w:t>
      </w:r>
      <w:r>
        <w:br/>
      </w:r>
      <w:r>
        <w:rPr>
          <w:rStyle w:val="VerbatimChar"/>
        </w:rPr>
        <w:t xml:space="preserve">└─ M → alternatives + I + A → a proposed intentional choice</w:t>
      </w:r>
      <w:r>
        <w:br/>
      </w:r>
      <w:r>
        <w:rPr>
          <w:rStyle w:val="VerbatimChar"/>
        </w:rPr>
        <w:t xml:space="preserve">   └─ T → the intended effect actually occurs</w:t>
      </w:r>
      <w:r>
        <w:br/>
      </w:r>
      <w:r>
        <w:rPr>
          <w:rStyle w:val="VerbatimChar"/>
        </w:rPr>
        <w:t xml:space="preserve">      ├─ X → the proposed account without intrinsic variation</w:t>
      </w:r>
      <w:r>
        <w:br/>
      </w:r>
      <w:r>
        <w:rPr>
          <w:rStyle w:val="VerbatimChar"/>
        </w:rPr>
        <w:t xml:space="preserve">      └─ R + CT + EP → warranted knowledge of the effect, given the premises</w:t>
      </w:r>
    </w:p>
    <w:p>
      <w:pPr>
        <w:pStyle w:val="FirstParagraph"/>
      </w:pPr>
      <w:r>
        <w:t xml:space="preserve">No arrow derives the source profile from participation alone.</w:t>
      </w:r>
    </w:p>
    <w:bookmarkEnd w:id="196"/>
    <w:bookmarkStart w:id="197" w:name="exemplars-at-different-joints."/>
    <w:p>
      <w:pPr>
        <w:pStyle w:val="Heading3"/>
      </w:pPr>
      <w:r>
        <w:t xml:space="preserve">09 / Exemplars at different joints.</w:t>
      </w:r>
    </w:p>
    <w:p>
      <w:pPr>
        <w:pStyle w:val="FirstParagraph"/>
      </w:pPr>
      <w:r>
        <w:rPr>
          <w:b/>
          <w:bCs/>
        </w:rPr>
        <w:t xml:space="preserve">Status:</w:t>
      </w:r>
      <w:r>
        <w:t xml:space="preserve"> </w:t>
      </w:r>
      <w:r>
        <w:t xml:space="preserve">Historical resources.</w:t>
      </w:r>
    </w:p>
    <w:p>
      <w:pPr>
        <w:pStyle w:val="BodyText"/>
      </w:pPr>
      <w:r>
        <w:t xml:space="preserve">No final system is attributed to these authors. The constructive architecture can develop beyond them, provided it preserves the achievements it retrieves and makes disagreement visible.</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Thinker</w:t>
            </w:r>
          </w:p>
        </w:tc>
        <w:tc>
          <w:tcPr>
            <w:tcW w:type="dxa" w:w="2749"/>
            <w:shd w:fill="EAE5DA"/>
          </w:tcPr>
          <w:p>
            <w:pPr>
              <w:pStyle w:val="BodyText"/>
              <w:keepNext w:val="0"/>
              <w:spacing w:after="80" w:line="252" w:lineRule="auto"/>
              <w:jc w:val="left"/>
            </w:pPr>
            <w:r>
              <w:rPr>
                <w:rFonts w:ascii="Calibri" w:hAnsi="Calibri"/>
                <w:b/>
                <w:sz w:val="17"/>
              </w:rPr>
              <w:t xml:space="preserve">Role / locus</w:t>
            </w:r>
          </w:p>
        </w:tc>
        <w:tc>
          <w:tcPr>
            <w:tcW w:type="dxa" w:w="2749"/>
            <w:shd w:fill="EAE5DA"/>
          </w:tcPr>
          <w:p>
            <w:pPr>
              <w:pStyle w:val="BodyText"/>
              <w:keepNext w:val="0"/>
              <w:spacing w:after="80" w:line="252" w:lineRule="auto"/>
              <w:jc w:val="left"/>
            </w:pPr>
            <w:r>
              <w:rPr>
                <w:rFonts w:ascii="Calibri" w:hAnsi="Calibri"/>
                <w:b/>
                <w:sz w:val="17"/>
              </w:rPr>
              <w:t xml:space="preserve">Use</w:t>
            </w:r>
          </w:p>
        </w:tc>
        <w:tc>
          <w:tcPr>
            <w:tcW w:type="dxa" w:w="2749"/>
            <w:shd w:fill="EAE5DA"/>
          </w:tcPr>
          <w:p>
            <w:pPr>
              <w:pStyle w:val="BodyText"/>
              <w:keepNext w:val="0"/>
              <w:spacing w:after="80" w:line="252" w:lineRule="auto"/>
              <w:jc w:val="left"/>
            </w:pPr>
            <w:r>
              <w:rPr>
                <w:rFonts w:ascii="Calibri" w:hAnsi="Calibri"/>
                <w:b/>
                <w:sz w:val="17"/>
              </w:rPr>
              <w:t xml:space="preserve">Limit</w:t>
            </w:r>
          </w:p>
        </w:tc>
      </w:tr>
      <w:tr>
        <w:tc>
          <w:tcPr>
            <w:tcW w:type="dxa" w:w="1689"/>
          </w:tcPr>
          <w:p>
            <w:pPr>
              <w:pStyle w:val="BodyText"/>
              <w:keepNext w:val="0"/>
              <w:spacing w:after="80" w:line="252" w:lineRule="auto"/>
              <w:jc w:val="left"/>
            </w:pPr>
            <w:r>
              <w:rPr>
                <w:rFonts w:ascii="Calibri" w:hAnsi="Calibri"/>
                <w:sz w:val="17"/>
              </w:rPr>
              <w:t xml:space="preserve">Anselm</w:t>
            </w:r>
          </w:p>
        </w:tc>
        <w:tc>
          <w:tcPr>
            <w:tcW w:type="dxa" w:w="2749"/>
          </w:tcPr>
          <w:p>
            <w:pPr>
              <w:pStyle w:val="BodyText"/>
              <w:keepNext w:val="0"/>
              <w:spacing w:after="80" w:line="252" w:lineRule="auto"/>
              <w:jc w:val="left"/>
            </w:pPr>
            <w:r>
              <w:rPr>
                <w:rFonts w:ascii="Calibri" w:hAnsi="Calibri"/>
                <w:sz w:val="17"/>
              </w:rPr>
              <w:t xml:space="preserve">Constitution &amp; rational excellence — Monologion 17, 25; De libertate arbitrii 3; De veritate 12</w:t>
            </w:r>
          </w:p>
        </w:tc>
        <w:tc>
          <w:tcPr>
            <w:tcW w:type="dxa" w:w="2749"/>
          </w:tcPr>
          <w:p>
            <w:pPr>
              <w:pStyle w:val="BodyText"/>
              <w:keepNext w:val="0"/>
              <w:spacing w:after="80" w:line="252" w:lineRule="auto"/>
              <w:jc w:val="left"/>
            </w:pPr>
            <w:r>
              <w:rPr>
                <w:rFonts w:ascii="Calibri" w:hAnsi="Calibri"/>
                <w:sz w:val="17"/>
              </w:rPr>
              <w:t xml:space="preserve">Composite dependence, unchanged intrinsic nature with changing relative predication, and freedom as rectitude for its own sake.</w:t>
            </w:r>
          </w:p>
        </w:tc>
        <w:tc>
          <w:tcPr>
            <w:tcW w:type="dxa" w:w="2749"/>
          </w:tcPr>
          <w:p>
            <w:pPr>
              <w:pStyle w:val="BodyText"/>
              <w:keepNext w:val="0"/>
              <w:spacing w:after="80" w:line="252" w:lineRule="auto"/>
              <w:jc w:val="left"/>
            </w:pPr>
            <w:r>
              <w:rPr>
                <w:rFonts w:ascii="Calibri" w:hAnsi="Calibri"/>
                <w:sz w:val="17"/>
              </w:rPr>
              <w:t xml:space="preserve">The freedom passages are consulted through Williams’s specialist entry; they are not a deduction of creation alternatives.</w:t>
            </w:r>
          </w:p>
        </w:tc>
      </w:tr>
      <w:tr>
        <w:tc>
          <w:tcPr>
            <w:tcW w:type="dxa" w:w="1689"/>
          </w:tcPr>
          <w:p>
            <w:pPr>
              <w:pStyle w:val="BodyText"/>
              <w:keepNext w:val="0"/>
              <w:spacing w:after="80" w:line="252" w:lineRule="auto"/>
              <w:jc w:val="left"/>
            </w:pPr>
            <w:r>
              <w:rPr>
                <w:rFonts w:ascii="Calibri" w:hAnsi="Calibri"/>
                <w:sz w:val="17"/>
              </w:rPr>
              <w:t xml:space="preserve">Aquinas</w:t>
            </w:r>
          </w:p>
        </w:tc>
        <w:tc>
          <w:tcPr>
            <w:tcW w:type="dxa" w:w="2749"/>
          </w:tcPr>
          <w:p>
            <w:pPr>
              <w:pStyle w:val="BodyText"/>
              <w:keepNext w:val="0"/>
              <w:spacing w:after="80" w:line="252" w:lineRule="auto"/>
              <w:jc w:val="left"/>
            </w:pPr>
            <w:r>
              <w:rPr>
                <w:rFonts w:ascii="Calibri" w:hAnsi="Calibri"/>
                <w:sz w:val="17"/>
              </w:rPr>
              <w:t xml:space="preserve">Constitution, voluntary expression &amp; knowledge as cause — ST I q.3 a.7; q.14 aa.5, 8; q.19 aa.2–3</w:t>
            </w:r>
          </w:p>
        </w:tc>
        <w:tc>
          <w:tcPr>
            <w:tcW w:type="dxa" w:w="2749"/>
          </w:tcPr>
          <w:p>
            <w:pPr>
              <w:pStyle w:val="BodyText"/>
              <w:keepNext w:val="0"/>
              <w:spacing w:after="80" w:line="252" w:lineRule="auto"/>
              <w:jc w:val="left"/>
            </w:pPr>
            <w:r>
              <w:rPr>
                <w:rFonts w:ascii="Calibri" w:hAnsi="Calibri"/>
                <w:sz w:val="17"/>
              </w:rPr>
              <w:t xml:space="preserve">Composition depends on components; simple willing can communicate goodness; knowledge causes insofar as joined to willing.</w:t>
            </w:r>
          </w:p>
        </w:tc>
        <w:tc>
          <w:tcPr>
            <w:tcW w:type="dxa" w:w="2749"/>
          </w:tcPr>
          <w:p>
            <w:pPr>
              <w:pStyle w:val="BodyText"/>
              <w:keepNext w:val="0"/>
              <w:spacing w:after="80" w:line="252" w:lineRule="auto"/>
              <w:jc w:val="left"/>
            </w:pPr>
            <w:r>
              <w:rPr>
                <w:rFonts w:ascii="Calibri" w:hAnsi="Calibri"/>
                <w:sz w:val="17"/>
              </w:rPr>
              <w:t xml:space="preserve">His account supplies resources, not proof of the new relational account of action or a completed response to modal collapse.</w:t>
            </w:r>
          </w:p>
        </w:tc>
      </w:tr>
      <w:tr>
        <w:tc>
          <w:tcPr>
            <w:tcW w:type="dxa" w:w="1689"/>
          </w:tcPr>
          <w:p>
            <w:pPr>
              <w:pStyle w:val="BodyText"/>
              <w:keepNext w:val="0"/>
              <w:spacing w:after="80" w:line="252" w:lineRule="auto"/>
              <w:jc w:val="left"/>
            </w:pPr>
            <w:r>
              <w:rPr>
                <w:rFonts w:ascii="Calibri" w:hAnsi="Calibri"/>
                <w:sz w:val="17"/>
              </w:rPr>
              <w:t xml:space="preserve">Scotus</w:t>
            </w:r>
          </w:p>
        </w:tc>
        <w:tc>
          <w:tcPr>
            <w:tcW w:type="dxa" w:w="2749"/>
          </w:tcPr>
          <w:p>
            <w:pPr>
              <w:pStyle w:val="BodyText"/>
              <w:keepNext w:val="0"/>
              <w:spacing w:after="80" w:line="252" w:lineRule="auto"/>
              <w:jc w:val="left"/>
            </w:pPr>
            <w:r>
              <w:rPr>
                <w:rFonts w:ascii="Calibri" w:hAnsi="Calibri"/>
                <w:sz w:val="17"/>
              </w:rPr>
              <w:t xml:space="preserve">Live contingency — Williams,</w:t>
            </w:r>
            <w:r>
              <w:rPr>
                <w:rFonts w:ascii="Calibri" w:hAnsi="Calibri"/>
                <w:sz w:val="17"/>
              </w:rPr>
              <w:t xml:space="preserve"> </w:t>
            </w:r>
            <w:r>
              <w:rPr>
                <w:rFonts w:ascii="Calibri" w:hAnsi="Calibri"/>
                <w:sz w:val="17"/>
              </w:rPr>
              <w:t xml:space="preserve">“</w:t>
            </w:r>
            <w:r>
              <w:rPr>
                <w:rFonts w:ascii="Calibri" w:hAnsi="Calibri"/>
                <w:sz w:val="17"/>
              </w:rPr>
              <w:t xml:space="preserve">John Duns Scotus,</w:t>
            </w:r>
            <w:r>
              <w:rPr>
                <w:rFonts w:ascii="Calibri" w:hAnsi="Calibri"/>
                <w:sz w:val="17"/>
              </w:rPr>
              <w:t xml:space="preserve">”</w:t>
            </w:r>
            <w:r>
              <w:rPr>
                <w:rFonts w:ascii="Calibri" w:hAnsi="Calibri"/>
                <w:sz w:val="17"/>
              </w:rPr>
              <w:t xml:space="preserve"> </w:t>
            </w:r>
            <w:r>
              <w:rPr>
                <w:rFonts w:ascii="Calibri" w:hAnsi="Calibri"/>
                <w:sz w:val="17"/>
              </w:rPr>
              <w:t xml:space="preserve">§5.2; Lectura I d.39 as primary follow-up</w:t>
            </w:r>
          </w:p>
        </w:tc>
        <w:tc>
          <w:tcPr>
            <w:tcW w:type="dxa" w:w="2749"/>
          </w:tcPr>
          <w:p>
            <w:pPr>
              <w:pStyle w:val="BodyText"/>
              <w:keepNext w:val="0"/>
              <w:spacing w:after="80" w:line="252" w:lineRule="auto"/>
              <w:jc w:val="left"/>
            </w:pPr>
            <w:r>
              <w:rPr>
                <w:rFonts w:ascii="Calibri" w:hAnsi="Calibri"/>
                <w:sz w:val="17"/>
              </w:rPr>
              <w:t xml:space="preserve">Alternatives at the act of choice, rather than later changes of thought; freedom not merely intellectual appetite.</w:t>
            </w:r>
          </w:p>
        </w:tc>
        <w:tc>
          <w:tcPr>
            <w:tcW w:type="dxa" w:w="2749"/>
          </w:tcPr>
          <w:p>
            <w:pPr>
              <w:pStyle w:val="BodyText"/>
              <w:keepNext w:val="0"/>
              <w:spacing w:after="80" w:line="252" w:lineRule="auto"/>
              <w:jc w:val="left"/>
            </w:pPr>
            <w:r>
              <w:rPr>
                <w:rFonts w:ascii="Calibri" w:hAnsi="Calibri"/>
                <w:sz w:val="17"/>
              </w:rPr>
              <w:t xml:space="preserve">Current specialist interpretation consulted. Critical d.39 primary collation remains pending; identical intrinsic actuality across possible worlds is not inferred.</w:t>
            </w:r>
          </w:p>
        </w:tc>
      </w:tr>
      <w:tr>
        <w:tc>
          <w:tcPr>
            <w:tcW w:type="dxa" w:w="1689"/>
          </w:tcPr>
          <w:p>
            <w:pPr>
              <w:pStyle w:val="BodyText"/>
              <w:keepNext w:val="0"/>
              <w:spacing w:after="80" w:line="252" w:lineRule="auto"/>
              <w:jc w:val="left"/>
            </w:pPr>
            <w:r>
              <w:rPr>
                <w:rFonts w:ascii="Calibri" w:hAnsi="Calibri"/>
                <w:sz w:val="17"/>
              </w:rPr>
              <w:t xml:space="preserve">Augustine</w:t>
            </w:r>
          </w:p>
        </w:tc>
        <w:tc>
          <w:tcPr>
            <w:tcW w:type="dxa" w:w="2749"/>
          </w:tcPr>
          <w:p>
            <w:pPr>
              <w:pStyle w:val="BodyText"/>
              <w:keepNext w:val="0"/>
              <w:spacing w:after="80" w:line="252" w:lineRule="auto"/>
              <w:jc w:val="left"/>
            </w:pPr>
            <w:r>
              <w:rPr>
                <w:rFonts w:ascii="Calibri" w:hAnsi="Calibri"/>
                <w:sz w:val="17"/>
              </w:rPr>
              <w:t xml:space="preserve">Exemplar intelligence without cognitive acquisition — City of God XI.10, XI.21; De diversis quaestionibus 83 q.46</w:t>
            </w:r>
          </w:p>
        </w:tc>
        <w:tc>
          <w:tcPr>
            <w:tcW w:type="dxa" w:w="2749"/>
          </w:tcPr>
          <w:p>
            <w:pPr>
              <w:pStyle w:val="BodyText"/>
              <w:keepNext w:val="0"/>
              <w:spacing w:after="80" w:line="252" w:lineRule="auto"/>
              <w:jc w:val="left"/>
            </w:pPr>
            <w:r>
              <w:rPr>
                <w:rFonts w:ascii="Calibri" w:hAnsi="Calibri"/>
                <w:sz w:val="17"/>
              </w:rPr>
              <w:t xml:space="preserve">Divine wisdom and immutable knowledge are not received from creatures; ideas are reasons in divine intelligence, rather than external standards.</w:t>
            </w:r>
          </w:p>
        </w:tc>
        <w:tc>
          <w:tcPr>
            <w:tcW w:type="dxa" w:w="2749"/>
          </w:tcPr>
          <w:p>
            <w:pPr>
              <w:pStyle w:val="BodyText"/>
              <w:keepNext w:val="0"/>
              <w:spacing w:after="80" w:line="252" w:lineRule="auto"/>
              <w:jc w:val="left"/>
            </w:pPr>
            <w:r>
              <w:rPr>
                <w:rFonts w:ascii="Calibri" w:hAnsi="Calibri"/>
                <w:sz w:val="17"/>
              </w:rPr>
              <w:t xml:space="preserve">City of God passages are primary witnesses; q.46 remains a primary collation lead in this project.</w:t>
            </w:r>
          </w:p>
        </w:tc>
      </w:tr>
      <w:tr>
        <w:tc>
          <w:tcPr>
            <w:tcW w:type="dxa" w:w="1689"/>
          </w:tcPr>
          <w:p>
            <w:pPr>
              <w:pStyle w:val="BodyText"/>
              <w:keepNext w:val="0"/>
              <w:spacing w:after="80" w:line="252" w:lineRule="auto"/>
              <w:jc w:val="left"/>
            </w:pPr>
            <w:r>
              <w:rPr>
                <w:rFonts w:ascii="Calibri" w:hAnsi="Calibri"/>
                <w:sz w:val="17"/>
              </w:rPr>
              <w:t xml:space="preserve">Dionysius &amp; Maximus</w:t>
            </w:r>
          </w:p>
        </w:tc>
        <w:tc>
          <w:tcPr>
            <w:tcW w:type="dxa" w:w="2749"/>
          </w:tcPr>
          <w:p>
            <w:pPr>
              <w:pStyle w:val="BodyText"/>
              <w:keepNext w:val="0"/>
              <w:spacing w:after="80" w:line="252" w:lineRule="auto"/>
              <w:jc w:val="left"/>
            </w:pPr>
            <w:r>
              <w:rPr>
                <w:rFonts w:ascii="Calibri" w:hAnsi="Calibri"/>
                <w:sz w:val="17"/>
              </w:rPr>
              <w:t xml:space="preserve">Nonpartition &amp; determinate intelligibility — Divine Names II.5, V.8; Ambiguum 7</w:t>
            </w:r>
          </w:p>
        </w:tc>
        <w:tc>
          <w:tcPr>
            <w:tcW w:type="dxa" w:w="2749"/>
          </w:tcPr>
          <w:p>
            <w:pPr>
              <w:pStyle w:val="BodyText"/>
              <w:keepNext w:val="0"/>
              <w:spacing w:after="80" w:line="252" w:lineRule="auto"/>
              <w:jc w:val="left"/>
            </w:pPr>
            <w:r>
              <w:rPr>
                <w:rFonts w:ascii="Calibri" w:hAnsi="Calibri"/>
                <w:sz w:val="17"/>
              </w:rPr>
              <w:t xml:space="preserve">Undivided communication and differentiated logoi support intelligible finite expression without independent Forms.</w:t>
            </w:r>
          </w:p>
        </w:tc>
        <w:tc>
          <w:tcPr>
            <w:tcW w:type="dxa" w:w="2749"/>
          </w:tcPr>
          <w:p>
            <w:pPr>
              <w:pStyle w:val="BodyText"/>
              <w:keepNext w:val="0"/>
              <w:spacing w:after="80" w:line="252" w:lineRule="auto"/>
              <w:jc w:val="left"/>
            </w:pPr>
            <w:r>
              <w:rPr>
                <w:rFonts w:ascii="Calibri" w:hAnsi="Calibri"/>
                <w:sz w:val="17"/>
              </w:rPr>
              <w:t xml:space="preserve">The Greek digital witnesses have OCR/provenance limits. Neither text is made to teach necessary emanation or the proposed specification model.</w:t>
            </w:r>
          </w:p>
        </w:tc>
      </w:tr>
      <w:tr>
        <w:tc>
          <w:tcPr>
            <w:tcW w:type="dxa" w:w="1689"/>
          </w:tcPr>
          <w:p>
            <w:pPr>
              <w:pStyle w:val="BodyText"/>
              <w:keepNext w:val="0"/>
              <w:spacing w:after="80" w:line="252" w:lineRule="auto"/>
              <w:jc w:val="left"/>
            </w:pPr>
            <w:r>
              <w:rPr>
                <w:rFonts w:ascii="Calibri" w:hAnsi="Calibri"/>
                <w:sz w:val="17"/>
              </w:rPr>
              <w:t xml:space="preserve">Bonaventure &amp; Nyssa</w:t>
            </w:r>
          </w:p>
        </w:tc>
        <w:tc>
          <w:tcPr>
            <w:tcW w:type="dxa" w:w="2749"/>
          </w:tcPr>
          <w:p>
            <w:pPr>
              <w:pStyle w:val="BodyText"/>
              <w:keepNext w:val="0"/>
              <w:spacing w:after="80" w:line="252" w:lineRule="auto"/>
              <w:jc w:val="left"/>
            </w:pPr>
            <w:r>
              <w:rPr>
                <w:rFonts w:ascii="Calibri" w:hAnsi="Calibri"/>
                <w:sz w:val="17"/>
              </w:rPr>
              <w:t xml:space="preserve">Continuity with participation — Itinerarium II–III, VI.2; On the Making of Man XVI</w:t>
            </w:r>
          </w:p>
        </w:tc>
        <w:tc>
          <w:tcPr>
            <w:tcW w:type="dxa" w:w="2749"/>
          </w:tcPr>
          <w:p>
            <w:pPr>
              <w:pStyle w:val="BodyText"/>
              <w:keepNext w:val="0"/>
              <w:spacing w:after="80" w:line="252" w:lineRule="auto"/>
              <w:jc w:val="left"/>
            </w:pPr>
            <w:r>
              <w:rPr>
                <w:rFonts w:ascii="Calibri" w:hAnsi="Calibri"/>
                <w:sz w:val="17"/>
              </w:rPr>
              <w:t xml:space="preserve">Exemplar expression and finite measure; unlimited source excess remains a constraint on agency theory.</w:t>
            </w:r>
          </w:p>
        </w:tc>
        <w:tc>
          <w:tcPr>
            <w:tcW w:type="dxa" w:w="2749"/>
          </w:tcPr>
          <w:p>
            <w:pPr>
              <w:pStyle w:val="BodyText"/>
              <w:keepNext w:val="0"/>
              <w:spacing w:after="80" w:line="252" w:lineRule="auto"/>
              <w:jc w:val="left"/>
            </w:pPr>
            <w:r>
              <w:rPr>
                <w:rFonts w:ascii="Calibri" w:hAnsi="Calibri"/>
                <w:sz w:val="17"/>
              </w:rPr>
              <w:t xml:space="preserve">Trinitarian diffusion of goodness is not an argument for necessary created production; Nyssen infinity does not establish modal alternatives.</w:t>
            </w:r>
          </w:p>
        </w:tc>
      </w:tr>
      <w:tr>
        <w:tc>
          <w:tcPr>
            <w:tcW w:type="dxa" w:w="1689"/>
          </w:tcPr>
          <w:p>
            <w:pPr>
              <w:pStyle w:val="BodyText"/>
              <w:keepNext w:val="0"/>
              <w:spacing w:after="80" w:line="252" w:lineRule="auto"/>
              <w:jc w:val="left"/>
            </w:pPr>
            <w:r>
              <w:rPr>
                <w:rFonts w:ascii="Calibri" w:hAnsi="Calibri"/>
                <w:sz w:val="17"/>
              </w:rPr>
              <w:t xml:space="preserve">Eriugena &amp; Przywara</w:t>
            </w:r>
          </w:p>
        </w:tc>
        <w:tc>
          <w:tcPr>
            <w:tcW w:type="dxa" w:w="2749"/>
          </w:tcPr>
          <w:p>
            <w:pPr>
              <w:pStyle w:val="BodyText"/>
              <w:keepNext w:val="0"/>
              <w:spacing w:after="80" w:line="252" w:lineRule="auto"/>
              <w:jc w:val="left"/>
            </w:pPr>
            <w:r>
              <w:rPr>
                <w:rFonts w:ascii="Calibri" w:hAnsi="Calibri"/>
                <w:sz w:val="17"/>
              </w:rPr>
              <w:t xml:space="preserve">Expression / constitution stress test — Periphyseon I.446D, I.455B; Analogia Entis</w:t>
            </w:r>
          </w:p>
        </w:tc>
        <w:tc>
          <w:tcPr>
            <w:tcW w:type="dxa" w:w="2749"/>
          </w:tcPr>
          <w:p>
            <w:pPr>
              <w:pStyle w:val="BodyText"/>
              <w:keepNext w:val="0"/>
              <w:spacing w:after="80" w:line="252" w:lineRule="auto"/>
              <w:jc w:val="left"/>
            </w:pPr>
            <w:r>
              <w:rPr>
                <w:rFonts w:ascii="Calibri" w:hAnsi="Calibri"/>
                <w:sz w:val="17"/>
              </w:rPr>
              <w:t xml:space="preserve">Theophany and the Creator–creature interval test whether real manifestation becomes source constitution.</w:t>
            </w:r>
          </w:p>
        </w:tc>
        <w:tc>
          <w:tcPr>
            <w:tcW w:type="dxa" w:w="2749"/>
          </w:tcPr>
          <w:p>
            <w:pPr>
              <w:pStyle w:val="BodyText"/>
              <w:keepNext w:val="0"/>
              <w:spacing w:after="80" w:line="252" w:lineRule="auto"/>
              <w:jc w:val="left"/>
            </w:pPr>
            <w:r>
              <w:rPr>
                <w:rFonts w:ascii="Calibri" w:hAnsi="Calibri"/>
                <w:sz w:val="17"/>
              </w:rPr>
              <w:t xml:space="preserve">Relevant earlier dossiers are reused; Przywara’s full text remains unconsulted. Greater dissimilarity is not a substitute for a bridge argument.</w:t>
            </w:r>
          </w:p>
        </w:tc>
      </w:tr>
      <w:tr>
        <w:tc>
          <w:tcPr>
            <w:tcW w:type="dxa" w:w="1689"/>
          </w:tcPr>
          <w:p>
            <w:pPr>
              <w:pStyle w:val="BodyText"/>
              <w:keepNext w:val="0"/>
              <w:spacing w:after="80" w:line="252" w:lineRule="auto"/>
              <w:jc w:val="left"/>
            </w:pPr>
            <w:r>
              <w:rPr>
                <w:rFonts w:ascii="Calibri" w:hAnsi="Calibri"/>
                <w:sz w:val="17"/>
              </w:rPr>
              <w:t xml:space="preserve">Newman and further resources</w:t>
            </w:r>
          </w:p>
        </w:tc>
        <w:tc>
          <w:tcPr>
            <w:tcW w:type="dxa" w:w="2749"/>
          </w:tcPr>
          <w:p>
            <w:pPr>
              <w:pStyle w:val="BodyText"/>
              <w:keepNext w:val="0"/>
              <w:spacing w:after="80" w:line="252" w:lineRule="auto"/>
              <w:jc w:val="left"/>
            </w:pPr>
            <w:r>
              <w:rPr>
                <w:rFonts w:ascii="Calibri" w:hAnsi="Calibri"/>
                <w:sz w:val="17"/>
              </w:rPr>
              <w:t xml:space="preserve">Development &amp; adversarial control — Essay on Development ch.V; Vallicella,</w:t>
            </w:r>
            <w:r>
              <w:rPr>
                <w:rFonts w:ascii="Calibri" w:hAnsi="Calibri"/>
                <w:sz w:val="17"/>
              </w:rPr>
              <w:t xml:space="preserve"> </w:t>
            </w:r>
            <w:r>
              <w:rPr>
                <w:rFonts w:ascii="Calibri" w:hAnsi="Calibri"/>
                <w:sz w:val="17"/>
              </w:rPr>
              <w:t xml:space="preserve">“</w:t>
            </w:r>
            <w:r>
              <w:rPr>
                <w:rFonts w:ascii="Calibri" w:hAnsi="Calibri"/>
                <w:sz w:val="17"/>
              </w:rPr>
              <w:t xml:space="preserve">Divine Simplicity,</w:t>
            </w:r>
            <w:r>
              <w:rPr>
                <w:rFonts w:ascii="Calibri" w:hAnsi="Calibri"/>
                <w:sz w:val="17"/>
              </w:rPr>
              <w:t xml:space="preserve">”</w:t>
            </w:r>
            <w:r>
              <w:rPr>
                <w:rFonts w:ascii="Calibri" w:hAnsi="Calibri"/>
                <w:sz w:val="17"/>
              </w:rPr>
              <w:t xml:space="preserve"> </w:t>
            </w:r>
            <w:r>
              <w:rPr>
                <w:rFonts w:ascii="Calibri" w:hAnsi="Calibri"/>
                <w:sz w:val="17"/>
              </w:rPr>
              <w:t xml:space="preserve">§§6–7</w:t>
            </w:r>
          </w:p>
        </w:tc>
        <w:tc>
          <w:tcPr>
            <w:tcW w:type="dxa" w:w="2749"/>
          </w:tcPr>
          <w:p>
            <w:pPr>
              <w:pStyle w:val="BodyText"/>
              <w:keepNext w:val="0"/>
              <w:spacing w:after="80" w:line="252" w:lineRule="auto"/>
              <w:jc w:val="left"/>
            </w:pPr>
            <w:r>
              <w:rPr>
                <w:rFonts w:ascii="Calibri" w:hAnsi="Calibri"/>
                <w:sz w:val="17"/>
              </w:rPr>
              <w:t xml:space="preserve">Organic development may introduce new explanatory concepts; contemporary objections test truthmaking and modal consistency.</w:t>
            </w:r>
          </w:p>
        </w:tc>
        <w:tc>
          <w:tcPr>
            <w:tcW w:type="dxa" w:w="2749"/>
          </w:tcPr>
          <w:p>
            <w:pPr>
              <w:pStyle w:val="BodyText"/>
              <w:keepNext w:val="0"/>
              <w:spacing w:after="80" w:line="252" w:lineRule="auto"/>
              <w:jc w:val="left"/>
            </w:pPr>
            <w:r>
              <w:rPr>
                <w:rFonts w:ascii="Calibri" w:hAnsi="Calibri"/>
                <w:sz w:val="17"/>
              </w:rPr>
              <w:t xml:space="preserve">Newman provides an analogy, not doctrinal certification. Modern discussion does not predetermine the constructive result.</w:t>
            </w:r>
          </w:p>
        </w:tc>
      </w:tr>
    </w:tbl>
    <w:bookmarkEnd w:id="197"/>
    <w:bookmarkStart w:id="198" w:name="Xd78e634de97dd968378de14ccd8ccef1a8fe95e"/>
    <w:p>
      <w:pPr>
        <w:pStyle w:val="Heading3"/>
      </w:pPr>
      <w:r>
        <w:t xml:space="preserve">10 / Development has constraints, not a fixed ceiling.</w:t>
      </w:r>
    </w:p>
    <w:p>
      <w:pPr>
        <w:pStyle w:val="FirstParagraph"/>
      </w:pPr>
      <w:r>
        <w:rPr>
          <w:b/>
          <w:bCs/>
        </w:rPr>
        <w:t xml:space="preserve">Status:</w:t>
      </w:r>
      <w:r>
        <w:t xml:space="preserve"> </w:t>
      </w:r>
      <w:r>
        <w:t xml:space="preserve">Provisional continuity assessment.</w:t>
      </w:r>
    </w:p>
    <w:p>
      <w:pPr>
        <w:pStyle w:val="BodyText"/>
      </w:pPr>
      <w:r>
        <w:t xml:space="preserve">Newman is an analogical methodological guide. Historical continuity neither guarantees metaphysical truth nor forbids a genuinely new explanatory distinction.</w:t>
      </w:r>
    </w:p>
    <w:p>
      <w:pPr>
        <w:pStyle w:val="BodyText"/>
      </w:pPr>
      <w:r>
        <w:t xml:space="preserve">The candidate preserves type by retaining an uncreated source, real finite recipients, communication without partition, and perfection without divine completion. It conserves the distinctions between possibility and actualization, personal origin and created dependence, intelligibility and knowledge. It assimilates exemplarism, rational willing, and live contingency without making their historical vocabularies interchangeable.</w:t>
      </w:r>
    </w:p>
    <w:p>
      <w:pPr>
        <w:pStyle w:val="BodyText"/>
      </w:pPr>
      <w:r>
        <w:t xml:space="preserve">Its positive development is the conjunction of determinate fullness and gratuitous communication. The source need not be emptied of wisdom, goodness, or agency to remain simple; the creature need not become a divine constituent to receive a real good. That conjunction is historically rooted. The relational account of different complete creative actions under X is a further constructive proposal, and its independent warrant remains at issue.</w:t>
      </w:r>
    </w:p>
    <w:p>
      <w:pPr>
        <w:pStyle w:val="BodyText"/>
      </w:pPr>
      <w:r>
        <w:t xml:space="preserve">Logical sequence requires a named bridge at each passage: negative simplicity to warranted positive perfection; fullness to possible communication; alternatives to actual authorship; productive action to knowledge. The proposed architecture preserves the noncomposition theorem while exposing these additional costs. Historical anticipation of its parts is neither proof of the whole nor evidence that it is unprecedented.</w:t>
      </w:r>
    </w:p>
    <w:p>
      <w:pPr>
        <w:pStyle w:val="BodyText"/>
      </w:pPr>
      <w:r>
        <w:t xml:space="preserve">Chronic vigour cannot yet be demonstrated. Present explanatory stability is a provisional test: does the synthesis clarify the difficult joints while preserving real distinctions? If its relational account undermines the defended simplicity account or turns agency into a description of the outcome, development must revise or reject that account rather than harmonize the conflict verbally.</w:t>
      </w:r>
    </w:p>
    <w:bookmarkEnd w:id="198"/>
    <w:bookmarkStart w:id="199" w:name="every-claim-has-an-evidence-status."/>
    <w:p>
      <w:pPr>
        <w:pStyle w:val="Heading3"/>
      </w:pPr>
      <w:r>
        <w:t xml:space="preserve">11 / Every claim has an evidence status.</w:t>
      </w:r>
    </w:p>
    <w:p>
      <w:pPr>
        <w:pStyle w:val="FirstParagraph"/>
      </w:pPr>
      <w:r>
        <w:rPr>
          <w:b/>
          <w:bCs/>
        </w:rPr>
        <w:t xml:space="preserve">Status:</w:t>
      </w:r>
      <w:r>
        <w:t xml:space="preserve"> </w:t>
      </w:r>
      <w:r>
        <w:t xml:space="preserve">Claim-level source ledger.</w:t>
      </w:r>
    </w:p>
    <w:p>
      <w:pPr>
        <w:pStyle w:val="BodyText"/>
      </w:pPr>
      <w:r>
        <w:t xml:space="preserve">Current specialist entries and selected primary passages were inspected. Previously consulted witnesses are distinguished from critical editions and monographs still awaiting direct examination.</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Source</w:t>
            </w:r>
          </w:p>
        </w:tc>
        <w:tc>
          <w:tcPr>
            <w:tcW w:type="dxa" w:w="2749"/>
            <w:shd w:fill="EAE5DA"/>
          </w:tcPr>
          <w:p>
            <w:pPr>
              <w:pStyle w:val="BodyText"/>
              <w:keepNext w:val="0"/>
              <w:spacing w:after="80" w:line="252" w:lineRule="auto"/>
              <w:jc w:val="left"/>
            </w:pPr>
            <w:r>
              <w:rPr>
                <w:rFonts w:ascii="Calibri" w:hAnsi="Calibri"/>
                <w:b/>
                <w:sz w:val="17"/>
              </w:rPr>
              <w:t xml:space="preserve">Status / locus</w:t>
            </w:r>
          </w:p>
        </w:tc>
        <w:tc>
          <w:tcPr>
            <w:tcW w:type="dxa" w:w="2749"/>
            <w:shd w:fill="EAE5DA"/>
          </w:tcPr>
          <w:p>
            <w:pPr>
              <w:pStyle w:val="BodyText"/>
              <w:keepNext w:val="0"/>
              <w:spacing w:after="80" w:line="252" w:lineRule="auto"/>
              <w:jc w:val="left"/>
            </w:pPr>
            <w:r>
              <w:rPr>
                <w:rFonts w:ascii="Calibri" w:hAnsi="Calibri"/>
                <w:b/>
                <w:sz w:val="17"/>
              </w:rPr>
              <w:t xml:space="preserve">Establishes</w:t>
            </w:r>
          </w:p>
        </w:tc>
        <w:tc>
          <w:tcPr>
            <w:tcW w:type="dxa" w:w="2749"/>
            <w:shd w:fill="EAE5DA"/>
          </w:tcPr>
          <w:p>
            <w:pPr>
              <w:pStyle w:val="BodyText"/>
              <w:keepNext w:val="0"/>
              <w:spacing w:after="80" w:line="252" w:lineRule="auto"/>
              <w:jc w:val="left"/>
            </w:pPr>
            <w:r>
              <w:rPr>
                <w:rFonts w:ascii="Calibri" w:hAnsi="Calibri"/>
                <w:b/>
                <w:sz w:val="17"/>
              </w:rPr>
              <w:t xml:space="preserve">Constructive use / limits</w:t>
            </w:r>
          </w:p>
        </w:tc>
      </w:tr>
      <w:tr>
        <w:tc>
          <w:tcPr>
            <w:tcW w:type="dxa" w:w="1689"/>
          </w:tcPr>
          <w:p>
            <w:pPr>
              <w:pStyle w:val="BodyText"/>
              <w:keepNext w:val="0"/>
              <w:spacing w:after="80" w:line="252" w:lineRule="auto"/>
              <w:jc w:val="left"/>
            </w:pPr>
            <w:hyperlink r:id="rId150">
              <w:r>
                <w:rPr>
                  <w:rStyle w:val="Hyperlink"/>
                </w:rPr>
                <w:t xml:space="preserve">Aquinas: constitution–dependence</w:t>
              </w:r>
            </w:hyperlink>
          </w:p>
        </w:tc>
        <w:tc>
          <w:tcPr>
            <w:tcW w:type="dxa" w:w="2749"/>
          </w:tcPr>
          <w:p>
            <w:pPr>
              <w:pStyle w:val="BodyText"/>
              <w:keepNext w:val="0"/>
              <w:spacing w:after="80" w:line="252" w:lineRule="auto"/>
              <w:jc w:val="left"/>
            </w:pPr>
            <w:r>
              <w:rPr>
                <w:rFonts w:ascii="Calibri" w:hAnsi="Calibri"/>
                <w:sz w:val="17"/>
              </w:rPr>
              <w:t xml:space="preserve">primary — ST I q.3 a.7, answer</w:t>
            </w:r>
          </w:p>
        </w:tc>
        <w:tc>
          <w:tcPr>
            <w:tcW w:type="dxa" w:w="2749"/>
          </w:tcPr>
          <w:p>
            <w:pPr>
              <w:pStyle w:val="BodyText"/>
              <w:keepNext w:val="0"/>
              <w:spacing w:after="80" w:line="252" w:lineRule="auto"/>
              <w:jc w:val="left"/>
            </w:pPr>
            <w:r>
              <w:rPr>
                <w:rFonts w:ascii="Calibri" w:hAnsi="Calibri"/>
                <w:sz w:val="17"/>
              </w:rPr>
              <w:t xml:space="preserve">English Dominican Fathers, Complete American Edition; Gutenberg #17611 mirror. An explicit argument within Aquinas’s broader first-being and act/potency framework.</w:t>
            </w:r>
          </w:p>
        </w:tc>
        <w:tc>
          <w:tcPr>
            <w:tcW w:type="dxa" w:w="2749"/>
          </w:tcPr>
          <w:p>
            <w:pPr>
              <w:pStyle w:val="BodyText"/>
              <w:keepNext w:val="0"/>
              <w:spacing w:after="80" w:line="252" w:lineRule="auto"/>
              <w:jc w:val="left"/>
            </w:pPr>
            <w:r>
              <w:rPr>
                <w:rFonts w:ascii="Calibri" w:hAnsi="Calibri"/>
                <w:sz w:val="17"/>
              </w:rPr>
              <w:t xml:space="preserve">KD is retrieved as a separately defended bridge; its universal truth is not established by attribution.</w:t>
            </w:r>
          </w:p>
        </w:tc>
      </w:tr>
      <w:tr>
        <w:tc>
          <w:tcPr>
            <w:tcW w:type="dxa" w:w="1689"/>
          </w:tcPr>
          <w:p>
            <w:pPr>
              <w:pStyle w:val="BodyText"/>
              <w:keepNext w:val="0"/>
              <w:spacing w:after="80" w:line="252" w:lineRule="auto"/>
              <w:jc w:val="left"/>
            </w:pPr>
            <w:hyperlink r:id="rId150">
              <w:r>
                <w:rPr>
                  <w:rStyle w:val="Hyperlink"/>
                </w:rPr>
                <w:t xml:space="preserve">Aquinas: plenitude and optional communication</w:t>
              </w:r>
            </w:hyperlink>
          </w:p>
        </w:tc>
        <w:tc>
          <w:tcPr>
            <w:tcW w:type="dxa" w:w="2749"/>
          </w:tcPr>
          <w:p>
            <w:pPr>
              <w:pStyle w:val="BodyText"/>
              <w:keepNext w:val="0"/>
              <w:spacing w:after="80" w:line="252" w:lineRule="auto"/>
              <w:jc w:val="left"/>
            </w:pPr>
            <w:r>
              <w:rPr>
                <w:rFonts w:ascii="Calibri" w:hAnsi="Calibri"/>
                <w:sz w:val="17"/>
              </w:rPr>
              <w:t xml:space="preserve">primary — ST I q.19 aa.2–3, especially a.3 answer and ad5</w:t>
            </w:r>
          </w:p>
        </w:tc>
        <w:tc>
          <w:tcPr>
            <w:tcW w:type="dxa" w:w="2749"/>
          </w:tcPr>
          <w:p>
            <w:pPr>
              <w:pStyle w:val="BodyText"/>
              <w:keepNext w:val="0"/>
              <w:spacing w:after="80" w:line="252" w:lineRule="auto"/>
              <w:jc w:val="left"/>
            </w:pPr>
            <w:r>
              <w:rPr>
                <w:rFonts w:ascii="Calibri" w:hAnsi="Calibri"/>
                <w:sz w:val="17"/>
              </w:rPr>
              <w:t xml:space="preserve">Same inspected primary translation. A rational-volitional argument and explicit self-determination claim, stronger than non-exhaustion alone.</w:t>
            </w:r>
          </w:p>
        </w:tc>
        <w:tc>
          <w:tcPr>
            <w:tcW w:type="dxa" w:w="2749"/>
          </w:tcPr>
          <w:p>
            <w:pPr>
              <w:pStyle w:val="BodyText"/>
              <w:keepNext w:val="0"/>
              <w:spacing w:after="80" w:line="252" w:lineRule="auto"/>
              <w:jc w:val="left"/>
            </w:pPr>
            <w:r>
              <w:rPr>
                <w:rFonts w:ascii="Calibri" w:hAnsi="Calibri"/>
                <w:sz w:val="17"/>
              </w:rPr>
              <w:t xml:space="preserve">Candidate warrant for gift-oriented specification; voluntariness and alternatives remain independently assessed.</w:t>
            </w:r>
          </w:p>
        </w:tc>
      </w:tr>
      <w:tr>
        <w:tc>
          <w:tcPr>
            <w:tcW w:type="dxa" w:w="1689"/>
          </w:tcPr>
          <w:p>
            <w:pPr>
              <w:pStyle w:val="BodyText"/>
              <w:keepNext w:val="0"/>
              <w:spacing w:after="80" w:line="252" w:lineRule="auto"/>
              <w:jc w:val="left"/>
            </w:pPr>
            <w:hyperlink r:id="rId150">
              <w:r>
                <w:rPr>
                  <w:rStyle w:val="Hyperlink"/>
                </w:rPr>
                <w:t xml:space="preserve">Aquinas: knowing through self as cause</w:t>
              </w:r>
            </w:hyperlink>
          </w:p>
        </w:tc>
        <w:tc>
          <w:tcPr>
            <w:tcW w:type="dxa" w:w="2749"/>
          </w:tcPr>
          <w:p>
            <w:pPr>
              <w:pStyle w:val="BodyText"/>
              <w:keepNext w:val="0"/>
              <w:spacing w:after="80" w:line="252" w:lineRule="auto"/>
              <w:jc w:val="left"/>
            </w:pPr>
            <w:r>
              <w:rPr>
                <w:rFonts w:ascii="Calibri" w:hAnsi="Calibri"/>
                <w:sz w:val="17"/>
              </w:rPr>
              <w:t xml:space="preserve">primary — ST I q.14 aa.5, 8; q.19 a.3 ad6</w:t>
            </w:r>
          </w:p>
        </w:tc>
        <w:tc>
          <w:tcPr>
            <w:tcW w:type="dxa" w:w="2749"/>
          </w:tcPr>
          <w:p>
            <w:pPr>
              <w:pStyle w:val="BodyText"/>
              <w:keepNext w:val="0"/>
              <w:spacing w:after="80" w:line="252" w:lineRule="auto"/>
              <w:jc w:val="left"/>
            </w:pPr>
            <w:r>
              <w:rPr>
                <w:rFonts w:ascii="Calibri" w:hAnsi="Calibri"/>
                <w:sz w:val="17"/>
              </w:rPr>
              <w:t xml:space="preserve">Same inspected primary translation. Distinctions among intelligible content, actual production, and epistemic/causal direction.</w:t>
            </w:r>
          </w:p>
        </w:tc>
        <w:tc>
          <w:tcPr>
            <w:tcW w:type="dxa" w:w="2749"/>
          </w:tcPr>
          <w:p>
            <w:pPr>
              <w:pStyle w:val="BodyText"/>
              <w:keepNext w:val="0"/>
              <w:spacing w:after="80" w:line="252" w:lineRule="auto"/>
              <w:jc w:val="left"/>
            </w:pPr>
            <w:r>
              <w:rPr>
                <w:rFonts w:ascii="Calibri" w:hAnsi="Calibri"/>
                <w:sz w:val="17"/>
              </w:rPr>
              <w:t xml:space="preserve">Supports the proposed direction; does not alone prove awareness of one’s own contingent intentional action.</w:t>
            </w:r>
          </w:p>
        </w:tc>
      </w:tr>
      <w:tr>
        <w:tc>
          <w:tcPr>
            <w:tcW w:type="dxa" w:w="1689"/>
          </w:tcPr>
          <w:p>
            <w:pPr>
              <w:pStyle w:val="BodyText"/>
              <w:keepNext w:val="0"/>
              <w:spacing w:after="80" w:line="252" w:lineRule="auto"/>
              <w:jc w:val="left"/>
            </w:pPr>
            <w:hyperlink r:id="rId154">
              <w:r>
                <w:rPr>
                  <w:rStyle w:val="Hyperlink"/>
                </w:rPr>
                <w:t xml:space="preserve">Thomas Williams: John Duns Scotus</w:t>
              </w:r>
            </w:hyperlink>
          </w:p>
        </w:tc>
        <w:tc>
          <w:tcPr>
            <w:tcW w:type="dxa" w:w="2749"/>
          </w:tcPr>
          <w:p>
            <w:pPr>
              <w:pStyle w:val="BodyText"/>
              <w:keepNext w:val="0"/>
              <w:spacing w:after="80" w:line="252" w:lineRule="auto"/>
              <w:jc w:val="left"/>
            </w:pPr>
            <w:r>
              <w:rPr>
                <w:rFonts w:ascii="Calibri" w:hAnsi="Calibri"/>
                <w:sz w:val="17"/>
              </w:rPr>
              <w:t xml:space="preserve">secondary — SEP §5.2; also §4.2 for intuitive cognition</w:t>
            </w:r>
          </w:p>
        </w:tc>
        <w:tc>
          <w:tcPr>
            <w:tcW w:type="dxa" w:w="2749"/>
          </w:tcPr>
          <w:p>
            <w:pPr>
              <w:pStyle w:val="BodyText"/>
              <w:keepNext w:val="0"/>
              <w:spacing w:after="80" w:line="252" w:lineRule="auto"/>
              <w:jc w:val="left"/>
            </w:pPr>
            <w:r>
              <w:rPr>
                <w:rFonts w:ascii="Calibri" w:hAnsi="Calibri"/>
                <w:sz w:val="17"/>
              </w:rPr>
              <w:t xml:space="preserve">Current publisher entry, substantive revision 15 December 2025; inspected. A specialist reconstruction with Dumont/MacDonald and Cross references.</w:t>
            </w:r>
          </w:p>
        </w:tc>
        <w:tc>
          <w:tcPr>
            <w:tcW w:type="dxa" w:w="2749"/>
          </w:tcPr>
          <w:p>
            <w:pPr>
              <w:pStyle w:val="BodyText"/>
              <w:keepNext w:val="0"/>
              <w:spacing w:after="80" w:line="252" w:lineRule="auto"/>
              <w:jc w:val="left"/>
            </w:pPr>
            <w:r>
              <w:rPr>
                <w:rFonts w:ascii="Calibri" w:hAnsi="Calibri"/>
                <w:sz w:val="17"/>
              </w:rPr>
              <w:t xml:space="preserve">Modal and epistemic resources, with its interpretation of the Aquinas contrast retained as interpretation.</w:t>
            </w:r>
          </w:p>
        </w:tc>
      </w:tr>
      <w:tr>
        <w:tc>
          <w:tcPr>
            <w:tcW w:type="dxa" w:w="1689"/>
          </w:tcPr>
          <w:p>
            <w:pPr>
              <w:pStyle w:val="BodyText"/>
              <w:keepNext w:val="0"/>
              <w:spacing w:after="80" w:line="252" w:lineRule="auto"/>
              <w:jc w:val="left"/>
            </w:pPr>
            <w:hyperlink r:id="rId156">
              <w:r>
                <w:rPr>
                  <w:rStyle w:val="Hyperlink"/>
                </w:rPr>
                <w:t xml:space="preserve">Thomas Williams: Anselm of Canterbury</w:t>
              </w:r>
            </w:hyperlink>
          </w:p>
        </w:tc>
        <w:tc>
          <w:tcPr>
            <w:tcW w:type="dxa" w:w="2749"/>
          </w:tcPr>
          <w:p>
            <w:pPr>
              <w:pStyle w:val="BodyText"/>
              <w:keepNext w:val="0"/>
              <w:spacing w:after="80" w:line="252" w:lineRule="auto"/>
              <w:jc w:val="left"/>
            </w:pPr>
            <w:r>
              <w:rPr>
                <w:rFonts w:ascii="Calibri" w:hAnsi="Calibri"/>
                <w:sz w:val="17"/>
              </w:rPr>
              <w:t xml:space="preserve">secondary — SEP §§4.1–4.2; DLA 3, DV 12</w:t>
            </w:r>
          </w:p>
        </w:tc>
        <w:tc>
          <w:tcPr>
            <w:tcW w:type="dxa" w:w="2749"/>
          </w:tcPr>
          <w:p>
            <w:pPr>
              <w:pStyle w:val="BodyText"/>
              <w:keepNext w:val="0"/>
              <w:spacing w:after="80" w:line="252" w:lineRule="auto"/>
              <w:jc w:val="left"/>
            </w:pPr>
            <w:r>
              <w:rPr>
                <w:rFonts w:ascii="Calibri" w:hAnsi="Calibri"/>
                <w:sz w:val="17"/>
              </w:rPr>
              <w:t xml:space="preserve">Publisher entry, substantive revision 16 July 2023; inspected. Anselm’s moral freedom account, with exact primary references.</w:t>
            </w:r>
          </w:p>
        </w:tc>
        <w:tc>
          <w:tcPr>
            <w:tcW w:type="dxa" w:w="2749"/>
          </w:tcPr>
          <w:p>
            <w:pPr>
              <w:pStyle w:val="BodyText"/>
              <w:keepNext w:val="0"/>
              <w:spacing w:after="80" w:line="252" w:lineRule="auto"/>
              <w:jc w:val="left"/>
            </w:pPr>
            <w:r>
              <w:rPr>
                <w:rFonts w:ascii="Calibri" w:hAnsi="Calibri"/>
                <w:sz w:val="17"/>
              </w:rPr>
              <w:t xml:space="preserve">Separates rational excellence from a lottery. Direct DLA/DV edition collation remains an additional source task.</w:t>
            </w:r>
          </w:p>
        </w:tc>
      </w:tr>
      <w:tr>
        <w:tc>
          <w:tcPr>
            <w:tcW w:type="dxa" w:w="1689"/>
          </w:tcPr>
          <w:p>
            <w:pPr>
              <w:pStyle w:val="BodyText"/>
              <w:keepNext w:val="0"/>
              <w:spacing w:after="80" w:line="252" w:lineRule="auto"/>
              <w:jc w:val="left"/>
            </w:pPr>
            <w:hyperlink r:id="rId158">
              <w:r>
                <w:rPr>
                  <w:rStyle w:val="Hyperlink"/>
                </w:rPr>
                <w:t xml:space="preserve">William F. Vallicella: Divine Simplicity</w:t>
              </w:r>
            </w:hyperlink>
          </w:p>
        </w:tc>
        <w:tc>
          <w:tcPr>
            <w:tcW w:type="dxa" w:w="2749"/>
          </w:tcPr>
          <w:p>
            <w:pPr>
              <w:pStyle w:val="BodyText"/>
              <w:keepNext w:val="0"/>
              <w:spacing w:after="80" w:line="252" w:lineRule="auto"/>
              <w:jc w:val="left"/>
            </w:pPr>
            <w:r>
              <w:rPr>
                <w:rFonts w:ascii="Calibri" w:hAnsi="Calibri"/>
                <w:sz w:val="17"/>
              </w:rPr>
              <w:t xml:space="preserve">secondary — SEP §§6–7; truthmaker models and modal collapse</w:t>
            </w:r>
          </w:p>
        </w:tc>
        <w:tc>
          <w:tcPr>
            <w:tcW w:type="dxa" w:w="2749"/>
          </w:tcPr>
          <w:p>
            <w:pPr>
              <w:pStyle w:val="BodyText"/>
              <w:keepNext w:val="0"/>
              <w:spacing w:after="80" w:line="252" w:lineRule="auto"/>
              <w:jc w:val="left"/>
            </w:pPr>
            <w:r>
              <w:rPr>
                <w:rFonts w:ascii="Calibri" w:hAnsi="Calibri"/>
                <w:sz w:val="17"/>
              </w:rPr>
              <w:t xml:space="preserve">Current publisher text, copyright 2023; selected sections inspected. A substantive adversarial survey, including Brower/Grant disagreements.</w:t>
            </w:r>
          </w:p>
        </w:tc>
        <w:tc>
          <w:tcPr>
            <w:tcW w:type="dxa" w:w="2749"/>
          </w:tcPr>
          <w:p>
            <w:pPr>
              <w:pStyle w:val="BodyText"/>
              <w:keepNext w:val="0"/>
              <w:spacing w:after="80" w:line="252" w:lineRule="auto"/>
              <w:jc w:val="left"/>
            </w:pPr>
            <w:r>
              <w:rPr>
                <w:rFonts w:ascii="Calibri" w:hAnsi="Calibri"/>
                <w:sz w:val="17"/>
              </w:rPr>
              <w:t xml:space="preserve">The new exercise model is tested against these objections; no assertion that every critic or defender is refuted.</w:t>
            </w:r>
          </w:p>
        </w:tc>
      </w:tr>
      <w:tr>
        <w:tc>
          <w:tcPr>
            <w:tcW w:type="dxa" w:w="1689"/>
          </w:tcPr>
          <w:p>
            <w:pPr>
              <w:pStyle w:val="BodyText"/>
              <w:keepNext w:val="0"/>
              <w:spacing w:after="80" w:line="252" w:lineRule="auto"/>
              <w:jc w:val="left"/>
            </w:pPr>
            <w:hyperlink r:id="rId160">
              <w:r>
                <w:rPr>
                  <w:rStyle w:val="Hyperlink"/>
                </w:rPr>
                <w:t xml:space="preserve">Edward Wierenga: Omniscience</w:t>
              </w:r>
            </w:hyperlink>
          </w:p>
        </w:tc>
        <w:tc>
          <w:tcPr>
            <w:tcW w:type="dxa" w:w="2749"/>
          </w:tcPr>
          <w:p>
            <w:pPr>
              <w:pStyle w:val="BodyText"/>
              <w:keepNext w:val="0"/>
              <w:spacing w:after="80" w:line="252" w:lineRule="auto"/>
              <w:jc w:val="left"/>
            </w:pPr>
            <w:r>
              <w:rPr>
                <w:rFonts w:ascii="Calibri" w:hAnsi="Calibri"/>
                <w:sz w:val="17"/>
              </w:rPr>
              <w:t xml:space="preserve">secondary — SEP §§1–3</w:t>
            </w:r>
          </w:p>
        </w:tc>
        <w:tc>
          <w:tcPr>
            <w:tcW w:type="dxa" w:w="2749"/>
          </w:tcPr>
          <w:p>
            <w:pPr>
              <w:pStyle w:val="BodyText"/>
              <w:keepNext w:val="0"/>
              <w:spacing w:after="80" w:line="252" w:lineRule="auto"/>
              <w:jc w:val="left"/>
            </w:pPr>
            <w:r>
              <w:rPr>
                <w:rFonts w:ascii="Calibri" w:hAnsi="Calibri"/>
                <w:sz w:val="17"/>
              </w:rPr>
              <w:t xml:space="preserve">Publisher entry, substantive revision 10 May 2025; selected discussions inspected. Definitions and competing accounts of cognitive adequacy.</w:t>
            </w:r>
          </w:p>
        </w:tc>
        <w:tc>
          <w:tcPr>
            <w:tcW w:type="dxa" w:w="2749"/>
          </w:tcPr>
          <w:p>
            <w:pPr>
              <w:pStyle w:val="BodyText"/>
              <w:keepNext w:val="0"/>
              <w:spacing w:after="80" w:line="252" w:lineRule="auto"/>
              <w:jc w:val="left"/>
            </w:pPr>
            <w:r>
              <w:rPr>
                <w:rFonts w:ascii="Calibri" w:hAnsi="Calibri"/>
                <w:sz w:val="17"/>
              </w:rPr>
              <w:t xml:space="preserve">Prevents the scoped productive-knowledge proposal from being mislabeled demonstrated omniscience.</w:t>
            </w:r>
          </w:p>
        </w:tc>
      </w:tr>
      <w:tr>
        <w:tc>
          <w:tcPr>
            <w:tcW w:type="dxa" w:w="1689"/>
          </w:tcPr>
          <w:p>
            <w:pPr>
              <w:pStyle w:val="BodyText"/>
              <w:keepNext w:val="0"/>
              <w:spacing w:after="80" w:line="252" w:lineRule="auto"/>
              <w:jc w:val="left"/>
            </w:pPr>
            <w:hyperlink r:id="rId162">
              <w:r>
                <w:rPr>
                  <w:rStyle w:val="Hyperlink"/>
                </w:rPr>
                <w:t xml:space="preserve">Augustine: City of God</w:t>
              </w:r>
            </w:hyperlink>
          </w:p>
        </w:tc>
        <w:tc>
          <w:tcPr>
            <w:tcW w:type="dxa" w:w="2749"/>
          </w:tcPr>
          <w:p>
            <w:pPr>
              <w:pStyle w:val="BodyText"/>
              <w:keepNext w:val="0"/>
              <w:spacing w:after="80" w:line="252" w:lineRule="auto"/>
              <w:jc w:val="left"/>
            </w:pPr>
            <w:r>
              <w:rPr>
                <w:rFonts w:ascii="Calibri" w:hAnsi="Calibri"/>
                <w:sz w:val="17"/>
              </w:rPr>
              <w:t xml:space="preserve">primary — XI.10 and XI.21</w:t>
            </w:r>
          </w:p>
        </w:tc>
        <w:tc>
          <w:tcPr>
            <w:tcW w:type="dxa" w:w="2749"/>
          </w:tcPr>
          <w:p>
            <w:pPr>
              <w:pStyle w:val="BodyText"/>
              <w:keepNext w:val="0"/>
              <w:spacing w:after="80" w:line="252" w:lineRule="auto"/>
              <w:jc w:val="left"/>
            </w:pPr>
            <w:r>
              <w:rPr>
                <w:rFonts w:ascii="Calibri" w:hAnsi="Calibri"/>
                <w:sz w:val="17"/>
              </w:rPr>
              <w:t xml:space="preserve">Marcus Dods translation; consulted project primary witness, XI.21 rechecked for this inquiry. An explicit non-reception witness in Augustine’s theology.</w:t>
            </w:r>
          </w:p>
        </w:tc>
        <w:tc>
          <w:tcPr>
            <w:tcW w:type="dxa" w:w="2749"/>
          </w:tcPr>
          <w:p>
            <w:pPr>
              <w:pStyle w:val="BodyText"/>
              <w:keepNext w:val="0"/>
              <w:spacing w:after="80" w:line="252" w:lineRule="auto"/>
              <w:jc w:val="left"/>
            </w:pPr>
            <w:r>
              <w:rPr>
                <w:rFonts w:ascii="Calibri" w:hAnsi="Calibri"/>
                <w:sz w:val="17"/>
              </w:rPr>
              <w:t xml:space="preserve">Does not itself derive knowledge of the actual action from the minimal source profile.</w:t>
            </w:r>
          </w:p>
        </w:tc>
      </w:tr>
      <w:tr>
        <w:tc>
          <w:tcPr>
            <w:tcW w:type="dxa" w:w="1689"/>
          </w:tcPr>
          <w:p>
            <w:pPr>
              <w:pStyle w:val="BodyText"/>
              <w:keepNext w:val="0"/>
              <w:spacing w:after="80" w:line="252" w:lineRule="auto"/>
              <w:jc w:val="left"/>
            </w:pPr>
            <w:hyperlink r:id="rId164">
              <w:r>
                <w:rPr>
                  <w:rStyle w:val="Hyperlink"/>
                </w:rPr>
                <w:t xml:space="preserve">Dionysius / Maximus: digital Greek witnesses</w:t>
              </w:r>
            </w:hyperlink>
          </w:p>
        </w:tc>
        <w:tc>
          <w:tcPr>
            <w:tcW w:type="dxa" w:w="2749"/>
          </w:tcPr>
          <w:p>
            <w:pPr>
              <w:pStyle w:val="BodyText"/>
              <w:keepNext w:val="0"/>
              <w:spacing w:after="80" w:line="252" w:lineRule="auto"/>
              <w:jc w:val="left"/>
            </w:pPr>
            <w:r>
              <w:rPr>
                <w:rFonts w:ascii="Calibri" w:hAnsi="Calibri"/>
                <w:sz w:val="17"/>
              </w:rPr>
              <w:t xml:space="preserve">primary — DN II.5, V.8; Ambiguum 7, PG 91 1077–1081</w:t>
            </w:r>
          </w:p>
        </w:tc>
        <w:tc>
          <w:tcPr>
            <w:tcW w:type="dxa" w:w="2749"/>
          </w:tcPr>
          <w:p>
            <w:pPr>
              <w:pStyle w:val="BodyText"/>
              <w:keepNext w:val="0"/>
              <w:spacing w:after="80" w:line="252" w:lineRule="auto"/>
              <w:jc w:val="left"/>
            </w:pPr>
            <w:r>
              <w:rPr>
                <w:rFonts w:ascii="Calibri" w:hAnsi="Calibri"/>
                <w:sz w:val="17"/>
              </w:rPr>
              <w:t xml:space="preserve">Earlier project consultation: academic unproofread PG OCR and provisional Ambigua transcription. Bounded textual support with edition/provenance qualifications.</w:t>
            </w:r>
          </w:p>
        </w:tc>
        <w:tc>
          <w:tcPr>
            <w:tcW w:type="dxa" w:w="2749"/>
          </w:tcPr>
          <w:p>
            <w:pPr>
              <w:pStyle w:val="BodyText"/>
              <w:keepNext w:val="0"/>
              <w:spacing w:after="80" w:line="252" w:lineRule="auto"/>
              <w:jc w:val="left"/>
            </w:pPr>
            <w:r>
              <w:rPr>
                <w:rFonts w:ascii="Calibri" w:hAnsi="Calibri"/>
                <w:sz w:val="17"/>
              </w:rPr>
              <w:t xml:space="preserve">Constructive retrieval, not attribution of the proposed account of agency or new modal semantics.</w:t>
            </w:r>
          </w:p>
        </w:tc>
      </w:tr>
      <w:tr>
        <w:tc>
          <w:tcPr>
            <w:tcW w:type="dxa" w:w="1689"/>
          </w:tcPr>
          <w:p>
            <w:pPr>
              <w:pStyle w:val="BodyText"/>
              <w:keepNext w:val="0"/>
              <w:spacing w:after="80" w:line="252" w:lineRule="auto"/>
              <w:jc w:val="left"/>
            </w:pPr>
            <w:hyperlink r:id="rId166">
              <w:r>
                <w:rPr>
                  <w:rStyle w:val="Hyperlink"/>
                </w:rPr>
                <w:t xml:space="preserve">Newman: Essay on Development</w:t>
              </w:r>
            </w:hyperlink>
          </w:p>
        </w:tc>
        <w:tc>
          <w:tcPr>
            <w:tcW w:type="dxa" w:w="2749"/>
          </w:tcPr>
          <w:p>
            <w:pPr>
              <w:pStyle w:val="BodyText"/>
              <w:keepNext w:val="0"/>
              <w:spacing w:after="80" w:line="252" w:lineRule="auto"/>
              <w:jc w:val="left"/>
            </w:pPr>
            <w:r>
              <w:rPr>
                <w:rFonts w:ascii="Calibri" w:hAnsi="Calibri"/>
                <w:sz w:val="17"/>
              </w:rPr>
              <w:t xml:space="preserve">primary — Chapter V, opening §4 and §§I–VII</w:t>
            </w:r>
          </w:p>
        </w:tc>
        <w:tc>
          <w:tcPr>
            <w:tcW w:type="dxa" w:w="2749"/>
          </w:tcPr>
          <w:p>
            <w:pPr>
              <w:pStyle w:val="BodyText"/>
              <w:keepNext w:val="0"/>
              <w:spacing w:after="80" w:line="252" w:lineRule="auto"/>
              <w:jc w:val="left"/>
            </w:pPr>
            <w:r>
              <w:rPr>
                <w:rFonts w:ascii="Calibri" w:hAnsi="Calibri"/>
                <w:sz w:val="17"/>
              </w:rPr>
              <w:t xml:space="preserve">Gutenberg #35110 mirror; chapter V inspected in the project. An actual methodological source; seventh note is chronic vigour.</w:t>
            </w:r>
          </w:p>
        </w:tc>
        <w:tc>
          <w:tcPr>
            <w:tcW w:type="dxa" w:w="2749"/>
          </w:tcPr>
          <w:p>
            <w:pPr>
              <w:pStyle w:val="BodyText"/>
              <w:keepNext w:val="0"/>
              <w:spacing w:after="80" w:line="252" w:lineRule="auto"/>
              <w:jc w:val="left"/>
            </w:pPr>
            <w:r>
              <w:rPr>
                <w:rFonts w:ascii="Calibri" w:hAnsi="Calibri"/>
                <w:sz w:val="17"/>
              </w:rPr>
              <w:t xml:space="preserve">Analogical continuity assessment, not ecclesial recognition of this model.</w:t>
            </w:r>
          </w:p>
        </w:tc>
      </w:tr>
      <w:tr>
        <w:tc>
          <w:tcPr>
            <w:tcW w:type="dxa" w:w="1689"/>
          </w:tcPr>
          <w:p>
            <w:pPr>
              <w:pStyle w:val="BodyText"/>
              <w:keepNext w:val="0"/>
              <w:spacing w:after="80" w:line="252" w:lineRule="auto"/>
              <w:jc w:val="left"/>
            </w:pPr>
            <w:hyperlink r:id="rId121">
              <w:r>
                <w:rPr>
                  <w:rStyle w:val="Hyperlink"/>
                </w:rPr>
                <w:t xml:space="preserve">Critical primary texts and specialist monographs</w:t>
              </w:r>
            </w:hyperlink>
          </w:p>
        </w:tc>
        <w:tc>
          <w:tcPr>
            <w:tcW w:type="dxa" w:w="2749"/>
          </w:tcPr>
          <w:p>
            <w:pPr>
              <w:pStyle w:val="BodyText"/>
              <w:keepNext w:val="0"/>
              <w:spacing w:after="80" w:line="252" w:lineRule="auto"/>
              <w:jc w:val="left"/>
            </w:pPr>
            <w:r>
              <w:rPr>
                <w:rFonts w:ascii="Calibri" w:hAnsi="Calibri"/>
                <w:sz w:val="17"/>
              </w:rPr>
              <w:t xml:space="preserve">pending — Scotus Lectura I d.39; Anselm DLA/DV; Constas Ambigua; Grant 2012; Brower 2009; Przywara Analogia Entis</w:t>
            </w:r>
          </w:p>
        </w:tc>
        <w:tc>
          <w:tcPr>
            <w:tcW w:type="dxa" w:w="2749"/>
          </w:tcPr>
          <w:p>
            <w:pPr>
              <w:pStyle w:val="BodyText"/>
              <w:keepNext w:val="0"/>
              <w:spacing w:after="80" w:line="252" w:lineRule="auto"/>
              <w:jc w:val="left"/>
            </w:pPr>
            <w:r>
              <w:rPr>
                <w:rFonts w:ascii="Calibri" w:hAnsi="Calibri"/>
                <w:sz w:val="17"/>
              </w:rPr>
              <w:t xml:space="preserve">Precise leads and bibliographic limits in the detailed dossiers. No new primary or monograph consultation is claimed here.</w:t>
            </w:r>
          </w:p>
        </w:tc>
        <w:tc>
          <w:tcPr>
            <w:tcW w:type="dxa" w:w="2749"/>
          </w:tcPr>
          <w:p>
            <w:pPr>
              <w:pStyle w:val="BodyText"/>
              <w:keepNext w:val="0"/>
              <w:spacing w:after="80" w:line="252" w:lineRule="auto"/>
              <w:jc w:val="left"/>
            </w:pPr>
            <w:r>
              <w:rPr>
                <w:rFonts w:ascii="Calibri" w:hAnsi="Calibri"/>
                <w:sz w:val="17"/>
              </w:rPr>
              <w:t xml:space="preserve">These sources are not silently counted as evidence already read.</w:t>
            </w:r>
          </w:p>
        </w:tc>
      </w:tr>
    </w:tbl>
    <w:bookmarkEnd w:id="199"/>
    <w:bookmarkStart w:id="200" w:name="determinate-fullness.-gratuitous-action."/>
    <w:p>
      <w:pPr>
        <w:pStyle w:val="Heading3"/>
      </w:pPr>
      <w:r>
        <w:t xml:space="preserve">12 / Determinate fullness. Gratuitous action.</w:t>
      </w:r>
    </w:p>
    <w:p>
      <w:pPr>
        <w:pStyle w:val="FirstParagraph"/>
      </w:pPr>
      <w:r>
        <w:rPr>
          <w:b/>
          <w:bCs/>
        </w:rPr>
        <w:t xml:space="preserve">Status:</w:t>
      </w:r>
      <w:r>
        <w:t xml:space="preserve"> </w:t>
      </w:r>
      <w:r>
        <w:t xml:space="preserve">Scoped verdict.</w:t>
      </w:r>
    </w:p>
    <w:p>
      <w:pPr>
        <w:pStyle w:val="BodyText"/>
      </w:pPr>
      <w:r>
        <w:t xml:space="preserve">The constructive achievement is an explicit account of what simple, intelligent, free communication would require, with distinct warrants for its decisive passages.</w:t>
      </w:r>
    </w:p>
    <w:p>
      <w:pPr>
        <w:pStyle w:val="BodyText"/>
      </w:pPr>
      <w:r>
        <w:t xml:space="preserve">KD + U give noncomposition. The sixfold audit extends the classical inquiry to received actuality, unity, determination, existence, and essential perfection when the relevant dependence is independently defended. Perfection without reception adds the positive result: a warranted perfection belongs without a more basic intrinsic principle completing the source. It neither proves every perfection nor earns a seventh independent route.</w:t>
      </w:r>
    </w:p>
    <w:p>
      <w:pPr>
        <w:pStyle w:val="BodyText"/>
      </w:pPr>
      <w:r>
        <w:t xml:space="preserve">The gift model explains why communication can be good for a recipient without repairing the giver. Live alternatives establish modal openness; reasons render giving intelligible; actual control makes the gift the agent’s; efficacy makes its intended effect real. These are four contributions, not four descriptions of one unexplained output.</w:t>
      </w:r>
    </w:p>
    <w:p>
      <w:pPr>
        <w:pStyle w:val="BodyText"/>
      </w:pPr>
      <w:r>
        <w:t xml:space="preserve">The relational proposal asks whether different complete intentional actions can originate with the same intrinsic divine actuality. Its strongest surviving rival places the difference in noncomposite intrinsic intentions across possible worlds. X excludes that rival only if its own stronger account is defended; the absence of parts or temporal change does not decide the dispute.</w:t>
      </w:r>
    </w:p>
    <w:p>
      <w:pPr>
        <w:pStyle w:val="BodyText"/>
      </w:pPr>
      <w:r>
        <w:t xml:space="preserve">Productive knowledge then explains an adequately disclosed effect through warranted awareness of the actual intelligent action that produces it. Knowledge of possibilities and bare causal power would be insufficient. Secondary free acts and comprehensive omniscience require further cognitive arguments, even where Catholic theology independently receives the doctrinal claims.</w:t>
      </w:r>
    </w:p>
    <w:p>
      <w:pPr>
        <w:pStyle w:val="BodyText"/>
      </w:pPr>
      <w:r>
        <w:t xml:space="preserve">Explanation finally stops, in this proposal, at actual voluntary action and its warranted self-awareness. The action supplies authorship rather than a prior necessitating selector. That is the indispensable bridge to defend. The philosophical gain is a clear test: does it explain intelligent direction and successful production without requiring creation to constitute, inform, or complete God?</w:t>
      </w:r>
    </w:p>
    <w:bookmarkEnd w:id="200"/>
    <w:bookmarkStart w:id="201" w:name="formal-statement-and-stopping-point"/>
    <w:p>
      <w:pPr>
        <w:pStyle w:val="Heading3"/>
      </w:pPr>
      <w:r>
        <w:t xml:space="preserve">Formal statement and stopping point</w:t>
      </w:r>
    </w:p>
    <w:p>
      <w:pPr>
        <w:pStyle w:val="SourceCode"/>
      </w:pPr>
      <w:r>
        <w:rPr>
          <w:rStyle w:val="VerbatimChar"/>
        </w:rPr>
        <w:t xml:space="preserve">U(g) ∧ KD ⇒ ¬∃z K(z,g).</w:t>
      </w:r>
      <w:r>
        <w:br/>
      </w:r>
      <w:r>
        <w:rPr>
          <w:rStyle w:val="VerbatimChar"/>
        </w:rPr>
        <w:t xml:space="preserve">M ∧ I ∧ A ∧ T ⇒ the proposed controlled intentional action that brings about its intended effect.</w:t>
      </w:r>
      <w:r>
        <w:br/>
      </w:r>
      <w:r>
        <w:rPr>
          <w:rStyle w:val="VerbatimChar"/>
        </w:rPr>
        <w:t xml:space="preserve">R ∧ CT ∧ EP ⇒ warranted knowledge of what the action brings about, when the agent has adequate access.</w:t>
      </w:r>
      <w:r>
        <w:br/>
      </w:r>
      <w:r>
        <w:rPr>
          <w:rStyle w:val="VerbatimChar"/>
        </w:rPr>
        <w:t xml:space="preserve">X is additional to noncomposition, and M is additional to fullness.</w:t>
      </w:r>
      <w:r>
        <w:br/>
      </w:r>
      <w:r>
        <w:rPr>
          <w:rStyle w:val="VerbatimChar"/>
        </w:rPr>
        <w:t xml:space="preserve">Actual intentional action and adequate knowledge of it remain additional assumptions.</w:t>
      </w:r>
    </w:p>
    <w:p>
      <w:pPr>
        <w:pStyle w:val="FirstParagraph"/>
      </w:pPr>
      <w:r>
        <w:t xml:space="preserve">The sparse checker treats representation, control, intended/effective alignment, access, and knowledge separately. It does not generate knowledge merely by assigning matching access tokens. All results remain relative to the declared semantics. The stronger combined no-creation/X profile can supply another route to source noncomposition; the formal dossier explains why deleting KD does not automatically remove that conclusion in every retained theory.</w:t>
      </w:r>
    </w:p>
    <w:p>
      <w:pPr>
        <w:pStyle w:val="BodyText"/>
      </w:pPr>
      <w:r>
        <w:t xml:space="preserve">Read the</w:t>
      </w:r>
      <w:r>
        <w:t xml:space="preserve"> </w:t>
      </w:r>
      <w:hyperlink r:id="rId120">
        <w:r>
          <w:rPr>
            <w:rStyle w:val="Hyperlink"/>
          </w:rPr>
          <w:t xml:space="preserve">formal audit</w:t>
        </w:r>
      </w:hyperlink>
      <w:r>
        <w:t xml:space="preserve">,</w:t>
      </w:r>
      <w:r>
        <w:t xml:space="preserve"> </w:t>
      </w:r>
      <w:hyperlink r:id="rId121">
        <w:r>
          <w:rPr>
            <w:rStyle w:val="Hyperlink"/>
          </w:rPr>
          <w:t xml:space="preserve">source dossier</w:t>
        </w:r>
      </w:hyperlink>
      <w:r>
        <w:t xml:space="preserve">, and</w:t>
      </w:r>
      <w:r>
        <w:t xml:space="preserve"> </w:t>
      </w:r>
      <w:hyperlink r:id="rId122">
        <w:r>
          <w:rPr>
            <w:rStyle w:val="Hyperlink"/>
          </w:rPr>
          <w:t xml:space="preserve">Newman-style assessment</w:t>
        </w:r>
      </w:hyperlink>
      <w:r>
        <w:t xml:space="preserve">.​ The interactive page is at https:/​/​participation-​6o4.​pages.​dev/​beyond-​participation/​.​</w:t>
      </w:r>
    </w:p>
    <w:bookmarkEnd w:id="201"/>
    <w:bookmarkStart w:id="208" w:name="questions-and-answers"/>
    <w:p>
      <w:pPr>
        <w:pStyle w:val="Heading3"/>
      </w:pPr>
      <w:r>
        <w:t xml:space="preserve">Questions and answers</w:t>
      </w:r>
    </w:p>
    <w:p>
      <w:pPr>
        <w:pStyle w:val="FirstParagraph"/>
      </w:pPr>
      <w:r>
        <w:t xml:space="preserve">What underivation establishes, what freedom requires, and what still needs an argument.</w:t>
      </w:r>
    </w:p>
    <w:bookmarkStart w:id="203" w:name="X5cf6334b3ce939cbfab1ad178142774ee506d70"/>
    <w:p>
      <w:pPr>
        <w:pStyle w:val="Heading4"/>
      </w:pPr>
      <w:r>
        <w:t xml:space="preserve">4. What follows from God’s being underived, and does that establish divine simplicity?</w:t>
      </w:r>
    </w:p>
    <w:p>
      <w:pPr>
        <w:pStyle w:val="FirstParagraph"/>
      </w:pPr>
      <w:r>
        <w:t xml:space="preserve">Absolute underivation excludes receiving the actuality of one’s being from anything more fundamental. With a further principle that proper intrinsic constituents ground the actuality of the whole they constitute, it excludes such constituents in God. Being merely efficiently uncaused would be weaker: an uncaused whole might still depend upon its constituting principles. The argument must address that deeper dependence.</w:t>
      </w:r>
    </w:p>
    <w:p>
      <w:pPr>
        <w:pStyle w:val="BodyText"/>
      </w:pPr>
      <w:r>
        <w:t xml:space="preserve">The broader simplicity inquiry tests distinct alleged conditions: an actualizer, a unifier, constituents, a constituting natural measure, received existence, and added essential perfection-realities. Each exclusion needs its own bridge; a real distinction is not automatically one of these conditions. Positive fullness also needs another step. First warrant a perfection such as understanding; then ask whether its possession could be received without contradicting underivation. Simplicity governs how a warranted perfection belongs to God. It cannot manufacture the perfection by subtracting parts.</w:t>
      </w:r>
    </w:p>
    <w:bookmarkStart w:id="202" w:name="Xbc81008fc7967905c42e03e1460c4ddc33a2f54"/>
    <w:p>
      <w:pPr>
        <w:pStyle w:val="Heading5"/>
      </w:pPr>
      <w:r>
        <w:t xml:space="preserve">The premises behind this answer: Constituents as grounds of a whole</w:t>
      </w:r>
    </w:p>
    <w:p>
      <w:pPr>
        <w:pStyle w:val="FirstParagraph"/>
      </w:pPr>
      <w:r>
        <w:t xml:space="preserve">Uses underivation U and the composition–dependence bridge KD. It does not add the stronger claim of identical intrinsic actuality across alternatives.</w:t>
      </w:r>
    </w:p>
    <w:p>
      <w:pPr>
        <w:pStyle w:val="BodyText"/>
      </w:pPr>
      <w:r>
        <w:t xml:space="preserve">Adopt these premises:</w:t>
      </w:r>
    </w:p>
    <w:p>
      <w:pPr>
        <w:pStyle w:val="Compact"/>
        <w:numPr>
          <w:ilvl w:val="0"/>
          <w:numId w:val="1004"/>
        </w:numPr>
      </w:pPr>
      <w:r>
        <w:t xml:space="preserve">Absolute underivation excludes constitutive as well as efficient dependence in the actuality by which the source exists.</w:t>
      </w:r>
    </w:p>
    <w:p>
      <w:pPr>
        <w:pStyle w:val="Compact"/>
        <w:numPr>
          <w:ilvl w:val="0"/>
          <w:numId w:val="1004"/>
        </w:numPr>
      </w:pPr>
      <w:r>
        <w:t xml:space="preserve">When intrinsic constituents make a whole the actual whole it is, its actuality is grounded in their contribution and unity.</w:t>
      </w:r>
    </w:p>
    <w:p>
      <w:pPr>
        <w:pStyle w:val="FirstParagraph"/>
      </w:pPr>
      <w:r>
        <w:t xml:space="preserve">Why adopt them?</w:t>
      </w:r>
    </w:p>
    <w:p>
      <w:pPr>
        <w:pStyle w:val="BodyText"/>
      </w:pPr>
      <w:r>
        <w:t xml:space="preserve">The constituents need not occur earlier in time. Their explanatory role is enough: the whole is what it is through them, even if they coexist necessarily with it. Calling the assembly uncaused does not remove that constitutive explanation. This follows the dependence argument explicit in Aquinas, Summa Theologiae I, question 3, article 7, while requiring constitution to be identified independently rather than defined as dependence.</w:t>
      </w:r>
    </w:p>
    <w:p>
      <w:pPr>
        <w:pStyle w:val="BodyText"/>
      </w:pPr>
      <w:r>
        <w:t xml:space="preserve">What follows if they hold?</w:t>
      </w:r>
    </w:p>
    <w:p>
      <w:pPr>
        <w:pStyle w:val="BodyText"/>
      </w:pPr>
      <w:r>
        <w:t xml:space="preserve">An absolutely underived source has no proper intrinsic constituents that constitute its being. Where positive perfection is independently established, underivation additionally excludes its possession through a more basic intrinsic actualizer. The negative exclusion and the positive attribution do different work.</w:t>
      </w:r>
    </w:p>
    <w:p>
      <w:pPr>
        <w:pStyle w:val="BodyText"/>
      </w:pPr>
      <w:r>
        <w:t xml:space="preserve">What remains to defend: A distinction is excluded only if it does the relevant constituting or actualizing work. Stronger attribute identity and intrinsic sameness across possibilities require further arguments.</w:t>
      </w:r>
    </w:p>
    <w:p>
      <w:pPr>
        <w:pStyle w:val="BodyText"/>
      </w:pPr>
      <w:hyperlink r:id="rId129">
        <w:r>
          <w:rPr>
            <w:rStyle w:val="Hyperlink"/>
          </w:rPr>
          <w:t xml:space="preserve">How far the simplicity argument reaches</w:t>
        </w:r>
      </w:hyperlink>
      <w:r>
        <w:t xml:space="preserve"> </w:t>
      </w:r>
      <w:r>
        <w:t xml:space="preserve">·</w:t>
      </w:r>
      <w:r>
        <w:t xml:space="preserve"> </w:t>
      </w:r>
      <w:hyperlink r:id="rId130">
        <w:r>
          <w:rPr>
            <w:rStyle w:val="Hyperlink"/>
          </w:rPr>
          <w:t xml:space="preserve">Distinct routes and additional premises</w:t>
        </w:r>
      </w:hyperlink>
    </w:p>
    <w:bookmarkEnd w:id="202"/>
    <w:bookmarkEnd w:id="203"/>
    <w:bookmarkStart w:id="205" w:name="Xc12e64c97a16978881d4743915c465699f05d81"/>
    <w:p>
      <w:pPr>
        <w:pStyle w:val="Heading4"/>
      </w:pPr>
      <w:r>
        <w:t xml:space="preserve">5. If God is complete and inexhaustible, why would creation be contingent rather than necessary?</w:t>
      </w:r>
    </w:p>
    <w:p>
      <w:pPr>
        <w:pStyle w:val="FirstParagraph"/>
      </w:pPr>
      <w:r>
        <w:t xml:space="preserve">Completeness and inexhaustibility alone do not establish contingency. A source could necessarily produce one finite world while remaining unlimited, undivided, and uncompleted by that world. The world’s failure to exhaust its source does not show that the world could have been absent. Likewise, production without need could still be necessary production.</w:t>
      </w:r>
    </w:p>
    <w:p>
      <w:pPr>
        <w:pStyle w:val="BodyText"/>
      </w:pPr>
      <w:r>
        <w:t xml:space="preserve">A further modal argument must warrant genuinely different possible created orders and, for the stronger claim, a genuine no-creation alternative. The proposal distinguishes those possibilities from the absence of just one particular creature. Aquinas’s account of optional expressions of complete goodness and Scotus’s treatment of contingency supply resources, rather than conclusions deduced from non-exhaustion. Christian teaching affirms free creation; this research asks what independently defensible metaphysical principles articulate that commitment. Even warranted alternatives would establish openness, not yet intelligent choice or freedom from every form of necessity.</w:t>
      </w:r>
    </w:p>
    <w:bookmarkStart w:id="204" w:name="X17db8639b5c81cced5c03265251c3fe62bf06be"/>
    <w:p>
      <w:pPr>
        <w:pStyle w:val="Heading5"/>
      </w:pPr>
      <w:r>
        <w:t xml:space="preserve">The premises behind this answer: Voluntary action and complete goodness</w:t>
      </w:r>
    </w:p>
    <w:p>
      <w:pPr>
        <w:pStyle w:val="FirstParagraph"/>
      </w:pPr>
      <w:r>
        <w:t xml:space="preserve">Adds rational agency, genuine modal alternatives, and voluntary action to divine completeness and non-exhaustion.</w:t>
      </w:r>
    </w:p>
    <w:p>
      <w:pPr>
        <w:pStyle w:val="BodyText"/>
      </w:pPr>
      <w:r>
        <w:t xml:space="preserve">Adopt these premises:</w:t>
      </w:r>
    </w:p>
    <w:p>
      <w:pPr>
        <w:pStyle w:val="Compact"/>
        <w:numPr>
          <w:ilvl w:val="0"/>
          <w:numId w:val="1005"/>
        </w:numPr>
      </w:pPr>
      <w:r>
        <w:t xml:space="preserve">The source is a rational agent whose goodness is complete independently of every finite created expression.</w:t>
      </w:r>
    </w:p>
    <w:p>
      <w:pPr>
        <w:pStyle w:val="Compact"/>
        <w:numPr>
          <w:ilvl w:val="0"/>
          <w:numId w:val="1005"/>
        </w:numPr>
      </w:pPr>
      <w:r>
        <w:t xml:space="preserve">A rational agent’s necessary orientation to its complete good need not necessitate a particular expression that neither constitutes that good nor is required for it.</w:t>
      </w:r>
    </w:p>
    <w:p>
      <w:pPr>
        <w:pStyle w:val="Compact"/>
        <w:numPr>
          <w:ilvl w:val="0"/>
          <w:numId w:val="1005"/>
        </w:numPr>
      </w:pPr>
      <w:r>
        <w:t xml:space="preserve">Its active power genuinely extends to alternative fitting expressions and to refraining; these are metaphysical possibilities, rather than merely conceivable descriptions.</w:t>
      </w:r>
    </w:p>
    <w:p>
      <w:pPr>
        <w:pStyle w:val="Compact"/>
        <w:numPr>
          <w:ilvl w:val="0"/>
          <w:numId w:val="1005"/>
        </w:numPr>
      </w:pPr>
      <w:r>
        <w:t xml:space="preserve">The agent actually determines its voluntary action for understood reasons; alternatives are not settled by an independent random or necessitating process.</w:t>
      </w:r>
    </w:p>
    <w:p>
      <w:pPr>
        <w:pStyle w:val="FirstParagraph"/>
      </w:pPr>
      <w:r>
        <w:t xml:space="preserve">Why adopt them?</w:t>
      </w:r>
    </w:p>
    <w:p>
      <w:pPr>
        <w:pStyle w:val="BodyText"/>
      </w:pPr>
      <w:r>
        <w:t xml:space="preserve">Aquinas distinguishes willing the complete end from necessarily willing every finite thing ordered toward it in Summa Theologiae I, question 19, articles 2–3. This makes the alternative intelligible: communication can express goodness already possessed rather than actualize a deficient giver. The modal conclusion also needs voluntary power with genuine alternatives. The end/means argument alone does not exclude every independent necessity that a rival could posit. Fitting alternatives can answer reasons for generosity without a uniquely obligatory expression.</w:t>
      </w:r>
    </w:p>
    <w:p>
      <w:pPr>
        <w:pStyle w:val="BodyText"/>
      </w:pPr>
      <w:r>
        <w:t xml:space="preserve">Necessarily, if an infallibly efficacious intention toward this world is actually exercised, this world exists. It does not follow that the intention must be exercised. To force that conclusion, the rival needs a further premise making the complete world-specific intention necessary. The proposed account places the contingent difference in voluntary direction; defending that account remains part of the inquiry.</w:t>
      </w:r>
    </w:p>
    <w:p>
      <w:pPr>
        <w:pStyle w:val="BodyText"/>
      </w:pPr>
      <w:r>
        <w:t xml:space="preserve">What follows if they hold?</w:t>
      </w:r>
    </w:p>
    <w:p>
      <w:pPr>
        <w:pStyle w:val="BodyText"/>
      </w:pPr>
      <w:r>
        <w:t xml:space="preserve">Given those powers and alternatives, creation can be a voluntary expression of complete goodness, including a genuine possibility of no created expression.</w:t>
      </w:r>
    </w:p>
    <w:p>
      <w:pPr>
        <w:pStyle w:val="BodyText"/>
      </w:pPr>
      <w:r>
        <w:t xml:space="preserve">What remains to defend: Rational agency, multi-outcome creative power, and actual voluntary choice are additional commitments. None follows from non-exhaustion alone.</w:t>
      </w:r>
    </w:p>
    <w:p>
      <w:pPr>
        <w:pStyle w:val="BodyText"/>
      </w:pPr>
      <w:hyperlink r:id="rId137">
        <w:r>
          <w:rPr>
            <w:rStyle w:val="Hyperlink"/>
          </w:rPr>
          <w:t xml:space="preserve">The necessary-emanation countermodel</w:t>
        </w:r>
      </w:hyperlink>
      <w:r>
        <w:t xml:space="preserve"> </w:t>
      </w:r>
      <w:r>
        <w:t xml:space="preserve">·</w:t>
      </w:r>
      <w:r>
        <w:t xml:space="preserve"> </w:t>
      </w:r>
      <w:hyperlink r:id="rId138">
        <w:r>
          <w:rPr>
            <w:rStyle w:val="Hyperlink"/>
          </w:rPr>
          <w:t xml:space="preserve">The earlier freedom test</w:t>
        </w:r>
      </w:hyperlink>
    </w:p>
    <w:bookmarkEnd w:id="204"/>
    <w:bookmarkEnd w:id="205"/>
    <w:bookmarkStart w:id="207" w:name="X17035502c9d8ef15daeca7734b2630477ce5587"/>
    <w:p>
      <w:pPr>
        <w:pStyle w:val="Heading4"/>
      </w:pPr>
      <w:r>
        <w:t xml:space="preserve">6. What makes possible alternatives a free intelligent act rather than random branching?</w:t>
      </w:r>
    </w:p>
    <w:p>
      <w:pPr>
        <w:pStyle w:val="FirstParagraph"/>
      </w:pPr>
      <w:r>
        <w:t xml:space="preserve">A free intelligent action requires four contributions. Real alternatives establish what could occur. Reasons explain why an outcome is fitting. Actual voluntary direction makes this outcome the agent’s doing. Efficacy explains why the intended result occurs. Mere branching establishes none of the last three. An intention can fail; an outcome can occur accidentally; an agent can understand alternatives without acting. Keeping these contributions distinct makes the positive account of agency assessable.</w:t>
      </w:r>
    </w:p>
    <w:p>
      <w:pPr>
        <w:pStyle w:val="BodyText"/>
      </w:pPr>
      <w:r>
        <w:t xml:space="preserve">A reason can make several actions intelligible without necessitating one uniquely. This allows rational action without reducing choice to either compulsion or a lottery. But invoking reasons and control does not yet demonstrate that an underived source has them, or settle every objection concerning explanation of the particular choice. Intelligent agency is an additional commitment requiring defense. The next question is harder still: what makes this actual intention distinct from another while preserving the proposed divine simplicity?</w:t>
      </w:r>
    </w:p>
    <w:bookmarkStart w:id="206" w:name="X89df5966716cfc89d5eaa4af7f21819647d3752"/>
    <w:p>
      <w:pPr>
        <w:pStyle w:val="Heading5"/>
      </w:pPr>
      <w:r>
        <w:t xml:space="preserve">The premises behind this answer: Reason-guided control of actual action</w:t>
      </w:r>
    </w:p>
    <w:p>
      <w:pPr>
        <w:pStyle w:val="FirstParagraph"/>
      </w:pPr>
      <w:r>
        <w:t xml:space="preserve">Adds understanding, actual control, and successful intentional production to the modal alternatives.</w:t>
      </w:r>
    </w:p>
    <w:p>
      <w:pPr>
        <w:pStyle w:val="BodyText"/>
      </w:pPr>
      <w:r>
        <w:t xml:space="preserve">Adopt these premises:</w:t>
      </w:r>
    </w:p>
    <w:p>
      <w:pPr>
        <w:pStyle w:val="Compact"/>
        <w:numPr>
          <w:ilvl w:val="0"/>
          <w:numId w:val="1006"/>
        </w:numPr>
      </w:pPr>
      <w:r>
        <w:t xml:space="preserve">The agent understands live possibilities and reasons making an intended end fitting.</w:t>
      </w:r>
    </w:p>
    <w:p>
      <w:pPr>
        <w:pStyle w:val="Compact"/>
        <w:numPr>
          <w:ilvl w:val="0"/>
          <w:numId w:val="1006"/>
        </w:numPr>
      </w:pPr>
      <w:r>
        <w:t xml:space="preserve">The agent actually controls its choice and action; a necessitating mechanism or accidental branching does not settle the outcome in its place.</w:t>
      </w:r>
    </w:p>
    <w:p>
      <w:pPr>
        <w:pStyle w:val="Compact"/>
        <w:numPr>
          <w:ilvl w:val="0"/>
          <w:numId w:val="1006"/>
        </w:numPr>
      </w:pPr>
      <w:r>
        <w:t xml:space="preserve">The action effectively produces its intended result.</w:t>
      </w:r>
    </w:p>
    <w:p>
      <w:pPr>
        <w:pStyle w:val="FirstParagraph"/>
      </w:pPr>
      <w:r>
        <w:t xml:space="preserve">Why adopt them?</w:t>
      </w:r>
    </w:p>
    <w:p>
      <w:pPr>
        <w:pStyle w:val="BodyText"/>
      </w:pPr>
      <w:r>
        <w:t xml:space="preserve">Understanding explains what the action is for; control explains why it is the agent’s doing; efficacy explains why the intended outcome occurs. These contributions cannot replace one another. Several actions may answer the same reason, so a reason can justify a choice without uniquely necessitating it. The account accepts actual voluntary agency as an explanatory starting point, rather than inventing a prior choosing act that would repeat the question indefinitely.</w:t>
      </w:r>
    </w:p>
    <w:p>
      <w:pPr>
        <w:pStyle w:val="BodyText"/>
      </w:pPr>
      <w:r>
        <w:t xml:space="preserve">What follows if they hold?</w:t>
      </w:r>
    </w:p>
    <w:p>
      <w:pPr>
        <w:pStyle w:val="BodyText"/>
      </w:pPr>
      <w:r>
        <w:t xml:space="preserve">An outcome can be intelligently authored rather than merely possible or accidental. Its explanation includes reasons and the agent’s actual control, even when those reasons do not necessitate that single outcome.</w:t>
      </w:r>
    </w:p>
    <w:p>
      <w:pPr>
        <w:pStyle w:val="BodyText"/>
      </w:pPr>
      <w:r>
        <w:t xml:space="preserve">What remains to defend: This is a positive account of irreducible voluntary agency. Its application to God, and its compatibility with stronger divine simplicity, require independent defense.</w:t>
      </w:r>
    </w:p>
    <w:p>
      <w:pPr>
        <w:pStyle w:val="BodyText"/>
      </w:pPr>
      <w:hyperlink r:id="rId145">
        <w:r>
          <w:rPr>
            <w:rStyle w:val="Hyperlink"/>
          </w:rPr>
          <w:t xml:space="preserve">Why branching is not authorship</w:t>
        </w:r>
      </w:hyperlink>
      <w:r>
        <w:t xml:space="preserve"> </w:t>
      </w:r>
      <w:r>
        <w:t xml:space="preserve">·</w:t>
      </w:r>
      <w:r>
        <w:t xml:space="preserve"> </w:t>
      </w:r>
      <w:hyperlink r:id="rId146">
        <w:r>
          <w:rPr>
            <w:rStyle w:val="Hyperlink"/>
          </w:rPr>
          <w:t xml:space="preserve">The problem of determinate intention</w:t>
        </w:r>
      </w:hyperlink>
      <w:r>
        <w:t xml:space="preserve"> </w:t>
      </w:r>
      <w:r>
        <w:t xml:space="preserve">·</w:t>
      </w:r>
      <w:r>
        <w:t xml:space="preserve"> </w:t>
      </w:r>
      <w:hyperlink r:id="rId147">
        <w:r>
          <w:rPr>
            <w:rStyle w:val="Hyperlink"/>
          </w:rPr>
          <w:t xml:space="preserve">Divine agency and actual action</w:t>
        </w:r>
      </w:hyperlink>
    </w:p>
    <w:bookmarkEnd w:id="206"/>
    <w:bookmarkEnd w:id="207"/>
    <w:bookmarkEnd w:id="208"/>
    <w:bookmarkEnd w:id="209"/>
    <w:p>
      <w:pPr>
        <w:pStyle w:val="Heading1"/>
      </w:pPr>
      <w:r>
        <w:t xml:space="preserve">Appendix B — beyond-formal.md</w:t>
      </w:r>
    </w:p>
    <w:p>
      <w:pPr>
        <w:pStyle w:val="FirstParagraph"/>
      </w:pPr>
      <w:r>
        <w:t xml:space="preserve">Original research file: https:/​/​participation-​6o4.​pages.​dev/​research/​beyond-​formal.​md</w:t>
      </w:r>
    </w:p>
    <w:bookmarkStart w:id="220" w:name="X36f263b80482761743e0dfaf6d3df1dd00d9c88"/>
    <w:p>
      <w:pPr>
        <w:pStyle w:val="Heading2"/>
      </w:pPr>
      <w:r>
        <w:t xml:space="preserve">Beyond Participation: formal reconstruction and adversarial audit</w:t>
      </w:r>
    </w:p>
    <w:p>
      <w:pPr>
        <w:pStyle w:val="FirstParagraph"/>
      </w:pPr>
      <w:r>
        <w:t xml:space="preserve">This is a constructive account of divine action, not an attribution of the complete model to a historical author. It asks which additional agency and knowledge premises can extend the Participation grammar. Model-relative consistency and independence do not prove the metaphysical truth or divine instantiation of those resources.</w:t>
      </w:r>
    </w:p>
    <w:bookmarkStart w:id="211" w:name="starting-theory-and-scope"/>
    <w:p>
      <w:pPr>
        <w:pStyle w:val="Heading3"/>
      </w:pPr>
      <w:r>
        <w:t xml:space="preserve">Starting theory and scope</w:t>
      </w:r>
    </w:p>
    <w:p>
      <w:pPr>
        <w:pStyle w:val="FirstParagraph"/>
      </w:pPr>
      <w:r>
        <w:t xml:space="preserve">Retain Part I’s factive productive causation</w:t>
      </w:r>
      <w:r>
        <w:t xml:space="preserve"> </w:t>
      </w:r>
      <w:r>
        <w:rPr>
          <w:rStyle w:val="VerbatimChar"/>
        </w:rPr>
        <w:t xml:space="preserve">C(y,x,q)</w:t>
      </w:r>
      <w:r>
        <w:t xml:space="preserve">, dependence</w:t>
      </w:r>
      <w:r>
        <w:t xml:space="preserve"> </w:t>
      </w:r>
      <w:r>
        <w:rPr>
          <w:rStyle w:val="VerbatimChar"/>
        </w:rPr>
        <w:t xml:space="preserve">D(x,y,r)</w:t>
      </w:r>
      <w:r>
        <w:t xml:space="preserve">, qualitative realization</w:t>
      </w:r>
      <w:r>
        <w:t xml:space="preserve"> </w:t>
      </w:r>
      <w:r>
        <w:rPr>
          <w:rStyle w:val="VerbatimChar"/>
        </w:rPr>
        <w:t xml:space="preserve">H(x,q,m)</w:t>
      </w:r>
      <w:r>
        <w:t xml:space="preserve">, proper constituency</w:t>
      </w:r>
      <w:r>
        <w:t xml:space="preserve"> </w:t>
      </w:r>
      <w:r>
        <w:rPr>
          <w:rStyle w:val="VerbatimChar"/>
        </w:rPr>
        <w:t xml:space="preserve">K(z,x)</w:t>
      </w:r>
      <w:r>
        <w:t xml:space="preserve">, and intrinsic profile</w:t>
      </w:r>
      <w:r>
        <w:t xml:space="preserve"> </w:t>
      </w:r>
      <w:r>
        <w:rPr>
          <w:rStyle w:val="VerbatimChar"/>
        </w:rPr>
        <w:t xml:space="preserve">J(x)</w:t>
      </w:r>
      <w:r>
        <w:t xml:space="preserve">. Actuality</w:t>
      </w:r>
      <w:r>
        <w:t xml:space="preserve"> </w:t>
      </w:r>
      <w:r>
        <w:rPr>
          <w:rStyle w:val="VerbatimChar"/>
        </w:rPr>
        <w:t xml:space="preserve">A(x)</w:t>
      </w:r>
      <w:r>
        <w:t xml:space="preserve"> </w:t>
      </w:r>
      <w:r>
        <w:t xml:space="preserve">abbreviates</w:t>
      </w:r>
      <w:r>
        <w:t xml:space="preserve"> </w:t>
      </w:r>
      <w:r>
        <w:rPr>
          <w:rStyle w:val="VerbatimChar"/>
        </w:rPr>
        <w:t xml:space="preserve">∃m H(x,e,m)</w:t>
      </w:r>
      <w:r>
        <w:t xml:space="preserve">. Modes, worlds, identity, and background constraints remain disclosed. The nine Part I clauses are G, CP, U, Q, KD, KH, FS, FC, X. See</w:t>
      </w:r>
      <w:r>
        <w:t xml:space="preserve"> </w:t>
      </w:r>
      <w:hyperlink r:id="rId210">
        <w:r>
          <w:rPr>
            <w:rStyle w:val="Hyperlink"/>
          </w:rPr>
          <w:t xml:space="preserve">the original formal architecture</w:t>
        </w:r>
      </w:hyperlink>
      <w:r>
        <w:t xml:space="preserve">.</w:t>
      </w:r>
    </w:p>
    <w:p>
      <w:pPr>
        <w:pStyle w:val="BodyText"/>
      </w:pPr>
      <w:r>
        <w:t xml:space="preserve">G sources every actual other’s positive realization. CP connects productive cause to dependence; Q connects source production to corresponding qualitative content. U denies source dependence. KD connects proper constitution to dependence. KH controls actual constituent capacities. FS/FC compare unbounded source and bounded recipient actuality in</w:t>
      </w:r>
      <w:r>
        <w:t xml:space="preserve"> </w:t>
      </w:r>
      <w:r>
        <w:rPr>
          <w:rStyle w:val="VerbatimChar"/>
        </w:rPr>
        <w:t xml:space="preserve">e</w:t>
      </w:r>
      <w:r>
        <w:t xml:space="preserve">. X says that the source’s intrinsic actuality is the same across admitted possible created outcomes. For divine action, God does not acquire an intrinsic actuality by creating this world rather than another. This claim is additional; it is not a theorem of having no parts.</w:t>
      </w:r>
    </w:p>
    <w:p>
      <w:pPr>
        <w:pStyle w:val="BodyText"/>
      </w:pPr>
      <w:r>
        <w:t xml:space="preserve">The source profile remains conditional; source existence and unlimited intellect are not derived. The domain covers created actualities and their proposed source, not independent divine hypostases or a complete theory of Trinity, incarnation, and grace. A no-creation case means no created actuality, not the denial of uncreated divine distinctions.</w:t>
      </w:r>
    </w:p>
    <w:p>
      <w:pPr>
        <w:pStyle w:val="BodyText"/>
      </w:pPr>
      <w:r>
        <w:t xml:space="preserve">The proposed follow-up report named in an earlier brief was not supplied. This reconstruction uses the actual Part I files, consulted primary sources, and current specialist scholarship; no unseen document is presumed to establish its preferred answer.</w:t>
      </w:r>
    </w:p>
    <w:bookmarkEnd w:id="211"/>
    <w:bookmarkStart w:id="212" w:name="formal-vocabulary-for-intentional-action"/>
    <w:p>
      <w:pPr>
        <w:pStyle w:val="Heading3"/>
      </w:pPr>
      <w:r>
        <w:t xml:space="preserve">Formal vocabulary for intentional action</w:t>
      </w:r>
    </w:p>
    <w:p>
      <w:pPr>
        <w:pStyle w:val="FirstParagraph"/>
      </w:pPr>
      <w:r>
        <w:t xml:space="preserve">Use possible-plan indices</w:t>
      </w:r>
      <w:r>
        <w:t xml:space="preserve"> </w:t>
      </w:r>
      <w:r>
        <w:rPr>
          <w:rStyle w:val="VerbatimChar"/>
        </w:rPr>
        <w:t xml:space="preserve">p</w:t>
      </w:r>
      <w:r>
        <w:t xml:space="preserve"> </w:t>
      </w:r>
      <w:r>
        <w:t xml:space="preserve">and action indices</w:t>
      </w:r>
      <w:r>
        <w:t xml:space="preserve"> </w:t>
      </w:r>
      <w:r>
        <w:rPr>
          <w:rStyle w:val="VerbatimChar"/>
        </w:rPr>
        <w:t xml:space="preserve">u</w:t>
      </w:r>
      <w:r>
        <w:t xml:space="preserve">. These indices introduce neither independent Platonic Forms nor additional substances.</w:t>
      </w:r>
      <w:r>
        <w:t xml:space="preserve"> </w:t>
      </w:r>
      <w:r>
        <w:rPr>
          <w:rStyle w:val="VerbatimChar"/>
        </w:rPr>
        <w:t xml:space="preserve">Exercise</w:t>
      </w:r>
      <w:r>
        <w:t xml:space="preserve"> </w:t>
      </w:r>
      <w:r>
        <w:t xml:space="preserve">denotes the actual exercise of a power. The proposal interprets intentional action as a real relation grounded in the agent; whether that interpretation can preserve the stronger simplicity claims is disputed.</w:t>
      </w:r>
    </w:p>
    <w:p>
      <w:pPr>
        <w:pStyle w:val="Compact"/>
        <w:numPr>
          <w:ilvl w:val="0"/>
          <w:numId w:val="1007"/>
        </w:numPr>
      </w:pPr>
      <w:r>
        <w:rPr>
          <w:rStyle w:val="VerbatimChar"/>
        </w:rPr>
        <w:t xml:space="preserve">Exercise(g,u,p)</w:t>
      </w:r>
      <w:r>
        <w:t xml:space="preserve">: an actual source activity directed to plan p. Intentional control and rational apprehension are additional relations, not concealed in this predicate.</w:t>
      </w:r>
    </w:p>
    <w:p>
      <w:pPr>
        <w:pStyle w:val="Compact"/>
        <w:numPr>
          <w:ilvl w:val="0"/>
          <w:numId w:val="1007"/>
        </w:numPr>
      </w:pPr>
      <w:r>
        <w:rPr>
          <w:rStyle w:val="VerbatimChar"/>
        </w:rPr>
        <w:t xml:space="preserve">Control(g,u)</w:t>
      </w:r>
      <w:r>
        <w:t xml:space="preserve">: the agent positively controls this actual action. Mere productive causation does not define this relation.</w:t>
      </w:r>
    </w:p>
    <w:p>
      <w:pPr>
        <w:pStyle w:val="Compact"/>
        <w:numPr>
          <w:ilvl w:val="0"/>
          <w:numId w:val="1007"/>
        </w:numPr>
      </w:pPr>
      <w:r>
        <w:rPr>
          <w:rStyle w:val="VerbatimChar"/>
        </w:rPr>
        <w:t xml:space="preserve">Rep(g,p)</w:t>
      </w:r>
      <w:r>
        <w:t xml:space="preserve"> </w:t>
      </w:r>
      <w:r>
        <w:t xml:space="preserve">and</w:t>
      </w:r>
      <w:r>
        <w:t xml:space="preserve"> </w:t>
      </w:r>
      <w:r>
        <w:rPr>
          <w:rStyle w:val="VerbatimChar"/>
        </w:rPr>
        <w:t xml:space="preserve">Supports(r,p)</w:t>
      </w:r>
      <w:r>
        <w:t xml:space="preserve">: the source apprehends a possibility, and reason r supports it. Neither entails unique selection.</w:t>
      </w:r>
    </w:p>
    <w:p>
      <w:pPr>
        <w:pStyle w:val="Compact"/>
        <w:numPr>
          <w:ilvl w:val="0"/>
          <w:numId w:val="1007"/>
        </w:numPr>
      </w:pPr>
      <w:r>
        <w:rPr>
          <w:rStyle w:val="VerbatimChar"/>
        </w:rPr>
        <w:t xml:space="preserve">Term(u,x)</w:t>
      </w:r>
      <w:r>
        <w:t xml:space="preserve">: x is the actual effect of the action.</w:t>
      </w:r>
    </w:p>
    <w:p>
      <w:pPr>
        <w:pStyle w:val="Compact"/>
        <w:numPr>
          <w:ilvl w:val="0"/>
          <w:numId w:val="1007"/>
        </w:numPr>
      </w:pPr>
      <w:r>
        <w:rPr>
          <w:rStyle w:val="VerbatimChar"/>
        </w:rPr>
        <w:t xml:space="preserve">Access(g,u,p)</w:t>
      </w:r>
      <w:r>
        <w:t xml:space="preserve">: awareness of one’s own actual choice, rather than merely awareness of one’s capacity.</w:t>
      </w:r>
    </w:p>
    <w:p>
      <w:pPr>
        <w:pStyle w:val="Compact"/>
        <w:numPr>
          <w:ilvl w:val="0"/>
          <w:numId w:val="1007"/>
        </w:numPr>
      </w:pPr>
      <w:r>
        <w:rPr>
          <w:rStyle w:val="VerbatimChar"/>
        </w:rPr>
        <w:t xml:space="preserve">CausalAccess(g,u,x)</w:t>
      </w:r>
      <w:r>
        <w:t xml:space="preserve">: accurate access to the action’s actual effect. Accuracy is not automatically epistemic warrant.</w:t>
      </w:r>
    </w:p>
    <w:p>
      <w:pPr>
        <w:pStyle w:val="Compact"/>
        <w:numPr>
          <w:ilvl w:val="0"/>
          <w:numId w:val="1007"/>
        </w:numPr>
      </w:pPr>
      <w:r>
        <w:rPr>
          <w:rStyle w:val="VerbatimChar"/>
        </w:rPr>
        <w:t xml:space="preserve">Know(g,x,warrant)</w:t>
      </w:r>
      <w:r>
        <w:t xml:space="preserve">: an epistemic relation interpreted separately from causation, representation, or truthmaking. Its warrant supplied by the agent’s own activity is an added condition, not a value generated by the evaluator.</w:t>
      </w:r>
    </w:p>
    <w:p>
      <w:pPr>
        <w:pStyle w:val="FirstParagraph"/>
      </w:pPr>
      <w:r>
        <w:t xml:space="preserve">An action concerns a possible expression without requiring that expression to exist already. The proposed grounding order is the agent’s power and control → actual intentional action → actual created effect. The effect does not supply the source’s actuality or determine its choice. This is explanatory order, not a temporal deliberation in God.</w:t>
      </w:r>
    </w:p>
    <w:bookmarkEnd w:id="212"/>
    <w:bookmarkStart w:id="213" w:name="X0a024befb2e882cb0d7ac04c98104f717955e69"/>
    <w:p>
      <w:pPr>
        <w:pStyle w:val="Heading3"/>
      </w:pPr>
      <w:r>
        <w:t xml:space="preserve">Bridge families and what is actually added</w:t>
      </w:r>
    </w:p>
    <w:p>
      <w:pPr>
        <w:pStyle w:val="FirstParagraph"/>
      </w:pPr>
      <w:r>
        <w:t xml:space="preserve">U, KD, F and X in the interface retrieve earlier commitments; F abbreviates the FS/FC actuality-mode profile. New dimensions are:</w:t>
      </w:r>
    </w:p>
    <w:tbl>
      <w:tblPr>
        <w:tblStyle w:val="TableGrid"/>
        <w:tblW w:type="dxa" w:w="9936"/>
        <w:jc w:val="left"/>
        <w:tblLayout w:type="fixed"/>
        <w:tblLook w:firstRow="1" w:lastRow="0" w:firstColumn="0" w:lastColumn="0" w:noHBand="0" w:noVBand="0" w:val="0020"/>
      </w:tblPr>
      <w:tblGrid>
        <w:gridCol w:w="3312"/>
        <w:gridCol w:w="3312"/>
        <w:gridCol w:w="3312"/>
      </w:tblGrid>
      <w:tr>
        <w:trPr>
          <w:tblHeader w:val="true"/>
        </w:trPr>
        <w:tc>
          <w:tcPr>
            <w:tcW w:type="dxa" w:w="3312"/>
            <w:shd w:fill="EAE5DA"/>
          </w:tcPr>
          <w:p>
            <w:pPr>
              <w:pStyle w:val="BodyText"/>
              <w:keepNext w:val="0"/>
              <w:spacing w:after="80" w:line="252" w:lineRule="auto"/>
              <w:jc w:val="left"/>
            </w:pPr>
            <w:r>
              <w:rPr>
                <w:rFonts w:ascii="Calibri" w:hAnsi="Calibri"/>
                <w:b/>
                <w:sz w:val="17"/>
              </w:rPr>
              <w:t xml:space="preserve">Label</w:t>
            </w:r>
          </w:p>
        </w:tc>
        <w:tc>
          <w:tcPr>
            <w:tcW w:type="dxa" w:w="3312"/>
            <w:shd w:fill="EAE5DA"/>
          </w:tcPr>
          <w:p>
            <w:pPr>
              <w:pStyle w:val="BodyText"/>
              <w:keepNext w:val="0"/>
              <w:spacing w:after="80" w:line="252" w:lineRule="auto"/>
              <w:jc w:val="left"/>
            </w:pPr>
            <w:r>
              <w:rPr>
                <w:rFonts w:ascii="Calibri" w:hAnsi="Calibri"/>
                <w:b/>
                <w:sz w:val="17"/>
              </w:rPr>
              <w:t xml:space="preserve">Claim</w:t>
            </w:r>
          </w:p>
        </w:tc>
        <w:tc>
          <w:tcPr>
            <w:tcW w:type="dxa" w:w="3312"/>
            <w:shd w:fill="EAE5DA"/>
          </w:tcPr>
          <w:p>
            <w:pPr>
              <w:pStyle w:val="BodyText"/>
              <w:keepNext w:val="0"/>
              <w:spacing w:after="80" w:line="252" w:lineRule="auto"/>
              <w:jc w:val="left"/>
            </w:pPr>
            <w:r>
              <w:rPr>
                <w:rFonts w:ascii="Calibri" w:hAnsi="Calibri"/>
                <w:b/>
                <w:sz w:val="17"/>
              </w:rPr>
              <w:t xml:space="preserve">Independent burden</w:t>
            </w:r>
          </w:p>
        </w:tc>
      </w:tr>
      <w:tr>
        <w:tc>
          <w:tcPr>
            <w:tcW w:type="dxa" w:w="3312"/>
          </w:tcPr>
          <w:p>
            <w:pPr>
              <w:pStyle w:val="BodyText"/>
              <w:keepNext w:val="0"/>
              <w:spacing w:after="80" w:line="252" w:lineRule="auto"/>
              <w:jc w:val="left"/>
            </w:pPr>
            <w:r>
              <w:rPr>
                <w:rFonts w:ascii="Calibri" w:hAnsi="Calibri"/>
                <w:sz w:val="17"/>
              </w:rPr>
              <w:t xml:space="preserve">M</w:t>
            </w:r>
          </w:p>
        </w:tc>
        <w:tc>
          <w:tcPr>
            <w:tcW w:type="dxa" w:w="3312"/>
          </w:tcPr>
          <w:p>
            <w:pPr>
              <w:pStyle w:val="BodyText"/>
              <w:keepNext w:val="0"/>
              <w:spacing w:after="80" w:line="252" w:lineRule="auto"/>
              <w:jc w:val="left"/>
            </w:pPr>
            <w:r>
              <w:rPr>
                <w:rFonts w:ascii="Calibri" w:hAnsi="Calibri"/>
                <w:sz w:val="17"/>
              </w:rPr>
              <w:t xml:space="preserve">A, B, and no creation are admitted alternatives.</w:t>
            </w:r>
          </w:p>
        </w:tc>
        <w:tc>
          <w:tcPr>
            <w:tcW w:type="dxa" w:w="3312"/>
          </w:tcPr>
          <w:p>
            <w:pPr>
              <w:pStyle w:val="BodyText"/>
              <w:keepNext w:val="0"/>
              <w:spacing w:after="80" w:line="252" w:lineRule="auto"/>
              <w:jc w:val="left"/>
            </w:pPr>
            <w:r>
              <w:rPr>
                <w:rFonts w:ascii="Calibri" w:hAnsi="Calibri"/>
                <w:sz w:val="17"/>
              </w:rPr>
              <w:t xml:space="preserve">Non-exhaustion and X do not supply these possibilities. Accessibility is stipulated in the sparse interpretation.</w:t>
            </w:r>
          </w:p>
        </w:tc>
      </w:tr>
      <w:tr>
        <w:tc>
          <w:tcPr>
            <w:tcW w:type="dxa" w:w="3312"/>
          </w:tcPr>
          <w:p>
            <w:pPr>
              <w:pStyle w:val="BodyText"/>
              <w:keepNext w:val="0"/>
              <w:spacing w:after="80" w:line="252" w:lineRule="auto"/>
              <w:jc w:val="left"/>
            </w:pPr>
            <w:r>
              <w:rPr>
                <w:rFonts w:ascii="Calibri" w:hAnsi="Calibri"/>
                <w:sz w:val="17"/>
              </w:rPr>
              <w:t xml:space="preserve">I</w:t>
            </w:r>
          </w:p>
        </w:tc>
        <w:tc>
          <w:tcPr>
            <w:tcW w:type="dxa" w:w="3312"/>
          </w:tcPr>
          <w:p>
            <w:pPr>
              <w:pStyle w:val="BodyText"/>
              <w:keepNext w:val="0"/>
              <w:spacing w:after="80" w:line="252" w:lineRule="auto"/>
              <w:jc w:val="left"/>
            </w:pPr>
            <w:r>
              <w:rPr>
                <w:rFonts w:ascii="Calibri" w:hAnsi="Calibri"/>
                <w:sz w:val="17"/>
              </w:rPr>
              <w:t xml:space="preserve">Possibilities and reasons are intelligibly apprehended.</w:t>
            </w:r>
          </w:p>
        </w:tc>
        <w:tc>
          <w:tcPr>
            <w:tcW w:type="dxa" w:w="3312"/>
          </w:tcPr>
          <w:p>
            <w:pPr>
              <w:pStyle w:val="BodyText"/>
              <w:keepNext w:val="0"/>
              <w:spacing w:after="80" w:line="252" w:lineRule="auto"/>
              <w:jc w:val="left"/>
            </w:pPr>
            <w:r>
              <w:rPr>
                <w:rFonts w:ascii="Calibri" w:hAnsi="Calibri"/>
                <w:sz w:val="17"/>
              </w:rPr>
              <w:t xml:space="preserve">Unlimited actuality does not establish unlimited or even operative intellect by notation.</w:t>
            </w:r>
          </w:p>
        </w:tc>
      </w:tr>
      <w:tr>
        <w:tc>
          <w:tcPr>
            <w:tcW w:type="dxa" w:w="3312"/>
          </w:tcPr>
          <w:p>
            <w:pPr>
              <w:pStyle w:val="BodyText"/>
              <w:keepNext w:val="0"/>
              <w:spacing w:after="80" w:line="252" w:lineRule="auto"/>
              <w:jc w:val="left"/>
            </w:pPr>
            <w:r>
              <w:rPr>
                <w:rFonts w:ascii="Calibri" w:hAnsi="Calibri"/>
                <w:sz w:val="17"/>
              </w:rPr>
              <w:t xml:space="preserve">A</w:t>
            </w:r>
          </w:p>
        </w:tc>
        <w:tc>
          <w:tcPr>
            <w:tcW w:type="dxa" w:w="3312"/>
          </w:tcPr>
          <w:p>
            <w:pPr>
              <w:pStyle w:val="BodyText"/>
              <w:keepNext w:val="0"/>
              <w:spacing w:after="80" w:line="252" w:lineRule="auto"/>
              <w:jc w:val="left"/>
            </w:pPr>
            <w:r>
              <w:rPr>
                <w:rFonts w:ascii="Calibri" w:hAnsi="Calibri"/>
                <w:sz w:val="17"/>
              </w:rPr>
              <w:t xml:space="preserve">The agent controls its actual action.</w:t>
            </w:r>
          </w:p>
        </w:tc>
        <w:tc>
          <w:tcPr>
            <w:tcW w:type="dxa" w:w="3312"/>
          </w:tcPr>
          <w:p>
            <w:pPr>
              <w:pStyle w:val="BodyText"/>
              <w:keepNext w:val="0"/>
              <w:spacing w:after="80" w:line="252" w:lineRule="auto"/>
              <w:jc w:val="left"/>
            </w:pPr>
            <w:r>
              <w:rPr>
                <w:rFonts w:ascii="Calibri" w:hAnsi="Calibri"/>
                <w:sz w:val="17"/>
              </w:rPr>
              <w:t xml:space="preserve">This is an agency primitive, not bare indeterminism or causation renamed</w:t>
            </w:r>
            <w:r>
              <w:rPr>
                <w:rFonts w:ascii="Calibri" w:hAnsi="Calibri"/>
                <w:sz w:val="17"/>
              </w:rPr>
              <w:t xml:space="preserve"> </w:t>
            </w:r>
            <w:r>
              <w:rPr>
                <w:rFonts w:ascii="Calibri" w:hAnsi="Calibri"/>
                <w:sz w:val="17"/>
              </w:rPr>
              <w:t xml:space="preserve">“</w:t>
            </w:r>
            <w:r>
              <w:rPr>
                <w:rFonts w:ascii="Calibri" w:hAnsi="Calibri"/>
                <w:sz w:val="17"/>
              </w:rPr>
              <w:t xml:space="preserve">choice.</w:t>
            </w:r>
            <w:r>
              <w:rPr>
                <w:rFonts w:ascii="Calibri" w:hAnsi="Calibri"/>
                <w:sz w:val="17"/>
              </w:rPr>
              <w:t xml:space="preserve">”</w:t>
            </w:r>
          </w:p>
        </w:tc>
      </w:tr>
      <w:tr>
        <w:tc>
          <w:tcPr>
            <w:tcW w:type="dxa" w:w="3312"/>
          </w:tcPr>
          <w:p>
            <w:pPr>
              <w:pStyle w:val="BodyText"/>
              <w:keepNext w:val="0"/>
              <w:spacing w:after="80" w:line="252" w:lineRule="auto"/>
              <w:jc w:val="left"/>
            </w:pPr>
            <w:r>
              <w:rPr>
                <w:rFonts w:ascii="Calibri" w:hAnsi="Calibri"/>
                <w:sz w:val="17"/>
              </w:rPr>
              <w:t xml:space="preserve">T</w:t>
            </w:r>
          </w:p>
        </w:tc>
        <w:tc>
          <w:tcPr>
            <w:tcW w:type="dxa" w:w="3312"/>
          </w:tcPr>
          <w:p>
            <w:pPr>
              <w:pStyle w:val="BodyText"/>
              <w:keepNext w:val="0"/>
              <w:spacing w:after="80" w:line="252" w:lineRule="auto"/>
              <w:jc w:val="left"/>
            </w:pPr>
            <w:r>
              <w:rPr>
                <w:rFonts w:ascii="Calibri" w:hAnsi="Calibri"/>
                <w:sz w:val="17"/>
              </w:rPr>
              <w:t xml:space="preserve">The intended plan is realized as the actual effect.</w:t>
            </w:r>
          </w:p>
        </w:tc>
        <w:tc>
          <w:tcPr>
            <w:tcW w:type="dxa" w:w="3312"/>
          </w:tcPr>
          <w:p>
            <w:pPr>
              <w:pStyle w:val="BodyText"/>
              <w:keepNext w:val="0"/>
              <w:spacing w:after="80" w:line="252" w:lineRule="auto"/>
              <w:jc w:val="left"/>
            </w:pPr>
            <w:r>
              <w:rPr>
                <w:rFonts w:ascii="Calibri" w:hAnsi="Calibri"/>
                <w:sz w:val="17"/>
              </w:rPr>
              <w:t xml:space="preserve">Intellectual possibility alone does not produce realization. Transparent, effective exercise needs warrant.</w:t>
            </w:r>
          </w:p>
        </w:tc>
      </w:tr>
      <w:tr>
        <w:tc>
          <w:tcPr>
            <w:tcW w:type="dxa" w:w="3312"/>
          </w:tcPr>
          <w:p>
            <w:pPr>
              <w:pStyle w:val="BodyText"/>
              <w:keepNext w:val="0"/>
              <w:spacing w:after="80" w:line="252" w:lineRule="auto"/>
              <w:jc w:val="left"/>
            </w:pPr>
            <w:r>
              <w:rPr>
                <w:rFonts w:ascii="Calibri" w:hAnsi="Calibri"/>
                <w:sz w:val="17"/>
              </w:rPr>
              <w:t xml:space="preserve">R</w:t>
            </w:r>
          </w:p>
        </w:tc>
        <w:tc>
          <w:tcPr>
            <w:tcW w:type="dxa" w:w="3312"/>
          </w:tcPr>
          <w:p>
            <w:pPr>
              <w:pStyle w:val="BodyText"/>
              <w:keepNext w:val="0"/>
              <w:spacing w:after="80" w:line="252" w:lineRule="auto"/>
              <w:jc w:val="left"/>
            </w:pPr>
            <w:r>
              <w:rPr>
                <w:rFonts w:ascii="Calibri" w:hAnsi="Calibri"/>
                <w:sz w:val="17"/>
              </w:rPr>
              <w:t xml:space="preserve">Awareness discloses one’s actual choice.</w:t>
            </w:r>
          </w:p>
        </w:tc>
        <w:tc>
          <w:tcPr>
            <w:tcW w:type="dxa" w:w="3312"/>
          </w:tcPr>
          <w:p>
            <w:pPr>
              <w:pStyle w:val="BodyText"/>
              <w:keepNext w:val="0"/>
              <w:spacing w:after="80" w:line="252" w:lineRule="auto"/>
              <w:jc w:val="left"/>
            </w:pPr>
            <w:r>
              <w:rPr>
                <w:rFonts w:ascii="Calibri" w:hAnsi="Calibri"/>
                <w:sz w:val="17"/>
              </w:rPr>
              <w:t xml:space="preserve">Knowing possibilities or power does not disclose which exercise obtains.</w:t>
            </w:r>
          </w:p>
        </w:tc>
      </w:tr>
      <w:tr>
        <w:tc>
          <w:tcPr>
            <w:tcW w:type="dxa" w:w="3312"/>
          </w:tcPr>
          <w:p>
            <w:pPr>
              <w:pStyle w:val="BodyText"/>
              <w:keepNext w:val="0"/>
              <w:spacing w:after="80" w:line="252" w:lineRule="auto"/>
              <w:jc w:val="left"/>
            </w:pPr>
            <w:r>
              <w:rPr>
                <w:rFonts w:ascii="Calibri" w:hAnsi="Calibri"/>
                <w:sz w:val="17"/>
              </w:rPr>
              <w:t xml:space="preserve">CT</w:t>
            </w:r>
          </w:p>
        </w:tc>
        <w:tc>
          <w:tcPr>
            <w:tcW w:type="dxa" w:w="3312"/>
          </w:tcPr>
          <w:p>
            <w:pPr>
              <w:pStyle w:val="BodyText"/>
              <w:keepNext w:val="0"/>
              <w:spacing w:after="80" w:line="252" w:lineRule="auto"/>
              <w:jc w:val="left"/>
            </w:pPr>
            <w:r>
              <w:rPr>
                <w:rFonts w:ascii="Calibri" w:hAnsi="Calibri"/>
                <w:sz w:val="17"/>
              </w:rPr>
              <w:t xml:space="preserve">The actual action adequately discloses its effect.</w:t>
            </w:r>
          </w:p>
        </w:tc>
        <w:tc>
          <w:tcPr>
            <w:tcW w:type="dxa" w:w="3312"/>
          </w:tcPr>
          <w:p>
            <w:pPr>
              <w:pStyle w:val="BodyText"/>
              <w:keepNext w:val="0"/>
              <w:spacing w:after="80" w:line="252" w:lineRule="auto"/>
              <w:jc w:val="left"/>
            </w:pPr>
            <w:r>
              <w:rPr>
                <w:rFonts w:ascii="Calibri" w:hAnsi="Calibri"/>
                <w:sz w:val="17"/>
              </w:rPr>
              <w:t xml:space="preserve">Awareness of a choice is not automatically knowledge of every actual result.</w:t>
            </w:r>
          </w:p>
        </w:tc>
      </w:tr>
      <w:tr>
        <w:tc>
          <w:tcPr>
            <w:tcW w:type="dxa" w:w="3312"/>
          </w:tcPr>
          <w:p>
            <w:pPr>
              <w:pStyle w:val="BodyText"/>
              <w:keepNext w:val="0"/>
              <w:spacing w:after="80" w:line="252" w:lineRule="auto"/>
              <w:jc w:val="left"/>
            </w:pPr>
            <w:r>
              <w:rPr>
                <w:rFonts w:ascii="Calibri" w:hAnsi="Calibri"/>
                <w:sz w:val="17"/>
              </w:rPr>
              <w:t xml:space="preserve">EP</w:t>
            </w:r>
          </w:p>
        </w:tc>
        <w:tc>
          <w:tcPr>
            <w:tcW w:type="dxa" w:w="3312"/>
          </w:tcPr>
          <w:p>
            <w:pPr>
              <w:pStyle w:val="BodyText"/>
              <w:keepNext w:val="0"/>
              <w:spacing w:after="80" w:line="252" w:lineRule="auto"/>
              <w:jc w:val="left"/>
            </w:pPr>
            <w:r>
              <w:rPr>
                <w:rFonts w:ascii="Calibri" w:hAnsi="Calibri"/>
                <w:sz w:val="17"/>
              </w:rPr>
              <w:t xml:space="preserve">Operative access has adequate epistemic warrant and yields knowledge.</w:t>
            </w:r>
          </w:p>
        </w:tc>
        <w:tc>
          <w:tcPr>
            <w:tcW w:type="dxa" w:w="3312"/>
          </w:tcPr>
          <w:p>
            <w:pPr>
              <w:pStyle w:val="BodyText"/>
              <w:keepNext w:val="0"/>
              <w:spacing w:after="80" w:line="252" w:lineRule="auto"/>
              <w:jc w:val="left"/>
            </w:pPr>
            <w:r>
              <w:rPr>
                <w:rFonts w:ascii="Calibri" w:hAnsi="Calibri"/>
                <w:sz w:val="17"/>
              </w:rPr>
              <w:t xml:space="preserve">Accurate access records or covariance are insufficient. EP is not derived merely by labeling an agent perfectly self-knowing.</w:t>
            </w:r>
          </w:p>
        </w:tc>
      </w:tr>
    </w:tbl>
    <w:p>
      <w:pPr>
        <w:pStyle w:val="BodyText"/>
      </w:pPr>
      <w:r>
        <w:t xml:space="preserve">The inference is therefore conditional:</w:t>
      </w:r>
    </w:p>
    <w:p>
      <w:pPr>
        <w:pStyle w:val="SourceCode"/>
      </w:pPr>
      <w:r>
        <w:rPr>
          <w:rStyle w:val="VerbatimChar"/>
        </w:rPr>
        <w:t xml:space="preserve">U + KD                         ⇒ no proper source constituents</w:t>
      </w:r>
      <w:r>
        <w:br/>
      </w:r>
      <w:r>
        <w:rPr>
          <w:rStyle w:val="VerbatimChar"/>
        </w:rPr>
        <w:t xml:space="preserve">M                              ⇒ the specified creation alternatives</w:t>
      </w:r>
      <w:r>
        <w:br/>
      </w:r>
      <w:r>
        <w:rPr>
          <w:rStyle w:val="VerbatimChar"/>
        </w:rPr>
        <w:t xml:space="preserve">M + I + A                      ⇒ the proposed intelligent control account</w:t>
      </w:r>
      <w:r>
        <w:br/>
      </w:r>
      <w:r>
        <w:rPr>
          <w:rStyle w:val="VerbatimChar"/>
        </w:rPr>
        <w:t xml:space="preserve">M + I + A + T                  ⇒ the agent intentionally produces the effect</w:t>
      </w:r>
      <w:r>
        <w:br/>
      </w:r>
      <w:r>
        <w:rPr>
          <w:rStyle w:val="VerbatimChar"/>
        </w:rPr>
        <w:t xml:space="preserve">U + KD + M + I + A + T + X      ⇒ candidate action account with the same intrinsic source actuality</w:t>
      </w:r>
      <w:r>
        <w:br/>
      </w:r>
      <w:r>
        <w:rPr>
          <w:rStyle w:val="VerbatimChar"/>
        </w:rPr>
        <w:t xml:space="preserve">R + CT + EP                    ⇒ warranted knowledge of the actual effect through one’s own activity</w:t>
      </w:r>
    </w:p>
    <w:p>
      <w:pPr>
        <w:pStyle w:val="FirstParagraph"/>
      </w:pPr>
      <w:r>
        <w:t xml:space="preserve">I/A/T qualify the last case as knowing one’s intentional productive exercise. They are not necessary premises for every conceivable knowledge of an effect. The interface displays the joint proposed path, not all possible proofs.</w:t>
      </w:r>
    </w:p>
    <w:p>
      <w:pPr>
        <w:pStyle w:val="BodyText"/>
      </w:pPr>
      <w:r>
        <w:t xml:space="preserve">If</w:t>
      </w:r>
      <w:r>
        <w:t xml:space="preserve"> </w:t>
      </w:r>
      <w:r>
        <w:t xml:space="preserve">“</w:t>
      </w:r>
      <w:r>
        <w:t xml:space="preserve">adequate reflexive access</w:t>
      </w:r>
      <w:r>
        <w:t xml:space="preserve">”</w:t>
      </w:r>
      <w:r>
        <w:t xml:space="preserve"> </w:t>
      </w:r>
      <w:r>
        <w:t xml:space="preserve">is defined so strongly that it already includes full warranted knowledge of the actual effect, CT and EP may be absorbed into it. That would be a different encoding of the information, not a new reduction of knowledge to participation. Here R is deliberately narrower, separating disclosure of actual selection from causal transparency and epistemic warrant. Eleven interface commitments are not asserted to be the absolutely smallest metaphysical basis.</w:t>
      </w:r>
    </w:p>
    <w:bookmarkEnd w:id="213"/>
    <w:bookmarkStart w:id="214" w:name="X53d4f8d3b66d67fe5e90e7727be1a4cce2d4db0"/>
    <w:p>
      <w:pPr>
        <w:pStyle w:val="Heading3"/>
      </w:pPr>
      <w:r>
        <w:t xml:space="preserve">Independent warrant versus conditional sufficiency</w:t>
      </w:r>
    </w:p>
    <w:p>
      <w:pPr>
        <w:pStyle w:val="FirstParagraph"/>
      </w:pPr>
      <w:r>
        <w:t xml:space="preserve">KD’s explanatory warrant is that genuinely constituting principles contribute to what the whole actually is. Their contribution is not mere correlation. Brute-unity theories reject that grounding claim; a physical example alone cannot prove it for every metaphysical structure. The relation K is interpreted before D so that the bridge is substantive rather than tautological.</w:t>
      </w:r>
    </w:p>
    <w:p>
      <w:pPr>
        <w:pStyle w:val="BodyText"/>
      </w:pPr>
      <w:r>
        <w:t xml:space="preserve">For contingency, the strongest retrieved argument is rational-volitional: necessary orientation to a complete good does not necessitate every optional finite expression through which it could be shared. Aquinas ST I q.19 a.3 distinguishes an end from means unnecessary to its attainment and explicitly invokes self-determination in ad5. This depends on a theory of voluntary power. A necessitating rule of diffusion would defeat the proposed inference and must be challenged, not ignored.</w:t>
      </w:r>
    </w:p>
    <w:p>
      <w:pPr>
        <w:pStyle w:val="BodyText"/>
      </w:pPr>
      <w:r>
        <w:t xml:space="preserve">For agency, intentional control is distinguished from merely being the productive source of an outcome. Anselm’s rational rectitude and Scotus’s alternatives at the act of choice illuminate different parts. Neither warrants the whole new account. Actual voluntary exercise is admitted as an irreducible agency resource. A reason can justify A without uniquely necessitating A, provided another admissible gift B is also genuinely available. This proposal does not require a deterministic contrastive explanation as the price of intelligibility.</w:t>
      </w:r>
    </w:p>
    <w:p>
      <w:pPr>
        <w:pStyle w:val="BodyText"/>
      </w:pPr>
      <w:r>
        <w:t xml:space="preserve">For knowledge, the operative rationale is that cognition can guide an intentional exercise rather than be acquired by observation of its finished product. Awareness of one’s actual action and adequate disclosure of its efficacy can therefore support knowledge through that action. An artisan analogy supplies a conceptual resource, not proof that an uncreated source adequately knows its own action. The competence, scope, transparency, and warrant needed for the inference remain added conditions.</w:t>
      </w:r>
    </w:p>
    <w:bookmarkEnd w:id="214"/>
    <w:bookmarkStart w:id="217" w:name="Xe322d74c52680d99ffdecb64d4287c969591f57"/>
    <w:p>
      <w:pPr>
        <w:pStyle w:val="Heading3"/>
      </w:pPr>
      <w:r>
        <w:t xml:space="preserve">The sparse interpretations actually checked</w:t>
      </w:r>
    </w:p>
    <w:p>
      <w:pPr>
        <w:pStyle w:val="FirstParagraph"/>
      </w:pPr>
      <w:r>
        <w:rPr>
          <w:rStyle w:val="VerbatimChar"/>
        </w:rPr>
        <w:t xml:space="preserve">scripts/beyond-model.mjs</w:t>
      </w:r>
      <w:r>
        <w:t xml:space="preserve"> </w:t>
      </w:r>
      <w:r>
        <w:t xml:space="preserve">supplies three mutually accessible situations: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Situation</w:t>
            </w:r>
          </w:p>
        </w:tc>
        <w:tc>
          <w:tcPr>
            <w:tcW w:type="dxa" w:w="2749"/>
            <w:shd w:fill="EAE5DA"/>
          </w:tcPr>
          <w:p>
            <w:pPr>
              <w:pStyle w:val="BodyText"/>
              <w:keepNext w:val="0"/>
              <w:spacing w:after="80" w:line="252" w:lineRule="auto"/>
              <w:jc w:val="left"/>
            </w:pPr>
            <w:r>
              <w:rPr>
                <w:rFonts w:ascii="Calibri" w:hAnsi="Calibri"/>
                <w:b/>
                <w:sz w:val="17"/>
              </w:rPr>
              <w:t xml:space="preserve">Actual entities and sourcing</w:t>
            </w:r>
          </w:p>
        </w:tc>
        <w:tc>
          <w:tcPr>
            <w:tcW w:type="dxa" w:w="2749"/>
            <w:shd w:fill="EAE5DA"/>
          </w:tcPr>
          <w:p>
            <w:pPr>
              <w:pStyle w:val="BodyText"/>
              <w:keepNext w:val="0"/>
              <w:spacing w:after="80" w:line="252" w:lineRule="auto"/>
              <w:jc w:val="left"/>
            </w:pPr>
            <w:r>
              <w:rPr>
                <w:rFonts w:ascii="Calibri" w:hAnsi="Calibri"/>
                <w:b/>
                <w:sz w:val="17"/>
              </w:rPr>
              <w:t xml:space="preserve">Source intrinsic realization</w:t>
            </w:r>
          </w:p>
        </w:tc>
        <w:tc>
          <w:tcPr>
            <w:tcW w:type="dxa" w:w="2749"/>
            <w:shd w:fill="EAE5DA"/>
          </w:tcPr>
          <w:p>
            <w:pPr>
              <w:pStyle w:val="BodyText"/>
              <w:keepNext w:val="0"/>
              <w:spacing w:after="80" w:line="252" w:lineRule="auto"/>
              <w:jc w:val="left"/>
            </w:pPr>
            <w:r>
              <w:rPr>
                <w:rFonts w:ascii="Calibri" w:hAnsi="Calibri"/>
                <w:b/>
                <w:sz w:val="17"/>
              </w:rPr>
              <w:t xml:space="preserve">Action / effect</w:t>
            </w:r>
          </w:p>
        </w:tc>
      </w:tr>
      <w:tr>
        <w:tc>
          <w:tcPr>
            <w:tcW w:type="dxa" w:w="1689"/>
          </w:tcPr>
          <w:p>
            <w:pPr>
              <w:pStyle w:val="BodyText"/>
              <w:keepNext w:val="0"/>
              <w:spacing w:after="80" w:line="252" w:lineRule="auto"/>
              <w:jc w:val="left"/>
            </w:pPr>
            <w:r>
              <w:rPr>
                <w:rFonts w:ascii="Calibri" w:hAnsi="Calibri"/>
                <w:sz w:val="17"/>
              </w:rPr>
              <w:t xml:space="preserve">A</w:t>
            </w:r>
          </w:p>
        </w:tc>
        <w:tc>
          <w:tcPr>
            <w:tcW w:type="dxa" w:w="2749"/>
          </w:tcPr>
          <w:p>
            <w:pPr>
              <w:pStyle w:val="BodyText"/>
              <w:keepNext w:val="0"/>
              <w:spacing w:after="80" w:line="252" w:lineRule="auto"/>
              <w:jc w:val="left"/>
            </w:pPr>
            <w:r>
              <w:rPr>
                <w:rFonts w:ascii="Calibri" w:hAnsi="Calibri"/>
                <w:sz w:val="17"/>
              </w:rPr>
              <w:t xml:space="preserve">g and finite a; C(g,a,e), D(a,g,e)</w:t>
            </w:r>
          </w:p>
        </w:tc>
        <w:tc>
          <w:tcPr>
            <w:tcW w:type="dxa" w:w="2749"/>
          </w:tcPr>
          <w:p>
            <w:pPr>
              <w:pStyle w:val="BodyText"/>
              <w:keepNext w:val="0"/>
              <w:spacing w:after="80" w:line="252" w:lineRule="auto"/>
              <w:jc w:val="left"/>
            </w:pPr>
            <w:r>
              <w:rPr>
                <w:rFonts w:ascii="Calibri" w:hAnsi="Calibri"/>
                <w:sz w:val="17"/>
              </w:rPr>
              <w:t xml:space="preserve">H(g,e,∞), no K-parts</w:t>
            </w:r>
          </w:p>
        </w:tc>
        <w:tc>
          <w:tcPr>
            <w:tcW w:type="dxa" w:w="2749"/>
          </w:tcPr>
          <w:p>
            <w:pPr>
              <w:pStyle w:val="BodyText"/>
              <w:keepNext w:val="0"/>
              <w:spacing w:after="80" w:line="252" w:lineRule="auto"/>
              <w:jc w:val="left"/>
            </w:pPr>
            <w:r>
              <w:rPr>
                <w:rFonts w:ascii="Calibri" w:hAnsi="Calibri"/>
                <w:sz w:val="17"/>
              </w:rPr>
              <w:t xml:space="preserve">plan A, effective a</w:t>
            </w:r>
          </w:p>
        </w:tc>
      </w:tr>
      <w:tr>
        <w:tc>
          <w:tcPr>
            <w:tcW w:type="dxa" w:w="1689"/>
          </w:tcPr>
          <w:p>
            <w:pPr>
              <w:pStyle w:val="BodyText"/>
              <w:keepNext w:val="0"/>
              <w:spacing w:after="80" w:line="252" w:lineRule="auto"/>
              <w:jc w:val="left"/>
            </w:pPr>
            <w:r>
              <w:rPr>
                <w:rFonts w:ascii="Calibri" w:hAnsi="Calibri"/>
                <w:sz w:val="17"/>
              </w:rPr>
              <w:t xml:space="preserve">B</w:t>
            </w:r>
          </w:p>
        </w:tc>
        <w:tc>
          <w:tcPr>
            <w:tcW w:type="dxa" w:w="2749"/>
          </w:tcPr>
          <w:p>
            <w:pPr>
              <w:pStyle w:val="BodyText"/>
              <w:keepNext w:val="0"/>
              <w:spacing w:after="80" w:line="252" w:lineRule="auto"/>
              <w:jc w:val="left"/>
            </w:pPr>
            <w:r>
              <w:rPr>
                <w:rFonts w:ascii="Calibri" w:hAnsi="Calibri"/>
                <w:sz w:val="17"/>
              </w:rPr>
              <w:t xml:space="preserve">g and finite b; C(g,b,e), D(b,g,e)</w:t>
            </w:r>
          </w:p>
        </w:tc>
        <w:tc>
          <w:tcPr>
            <w:tcW w:type="dxa" w:w="2749"/>
          </w:tcPr>
          <w:p>
            <w:pPr>
              <w:pStyle w:val="BodyText"/>
              <w:keepNext w:val="0"/>
              <w:spacing w:after="80" w:line="252" w:lineRule="auto"/>
              <w:jc w:val="left"/>
            </w:pPr>
            <w:r>
              <w:rPr>
                <w:rFonts w:ascii="Calibri" w:hAnsi="Calibri"/>
                <w:sz w:val="17"/>
              </w:rPr>
              <w:t xml:space="preserve">the same</w:t>
            </w:r>
          </w:p>
        </w:tc>
        <w:tc>
          <w:tcPr>
            <w:tcW w:type="dxa" w:w="2749"/>
          </w:tcPr>
          <w:p>
            <w:pPr>
              <w:pStyle w:val="BodyText"/>
              <w:keepNext w:val="0"/>
              <w:spacing w:after="80" w:line="252" w:lineRule="auto"/>
              <w:jc w:val="left"/>
            </w:pPr>
            <w:r>
              <w:rPr>
                <w:rFonts w:ascii="Calibri" w:hAnsi="Calibri"/>
                <w:sz w:val="17"/>
              </w:rPr>
              <w:t xml:space="preserve">plan B, effective b</w:t>
            </w:r>
          </w:p>
        </w:tc>
      </w:tr>
      <w:tr>
        <w:tc>
          <w:tcPr>
            <w:tcW w:type="dxa" w:w="1689"/>
          </w:tcPr>
          <w:p>
            <w:pPr>
              <w:pStyle w:val="BodyText"/>
              <w:keepNext w:val="0"/>
              <w:spacing w:after="80" w:line="252" w:lineRule="auto"/>
              <w:jc w:val="left"/>
            </w:pPr>
            <w:r>
              <w:rPr>
                <w:rFonts w:ascii="Calibri" w:hAnsi="Calibri"/>
                <w:sz w:val="17"/>
              </w:rPr>
              <w:t xml:space="preserve">N</w:t>
            </w:r>
          </w:p>
        </w:tc>
        <w:tc>
          <w:tcPr>
            <w:tcW w:type="dxa" w:w="2749"/>
          </w:tcPr>
          <w:p>
            <w:pPr>
              <w:pStyle w:val="BodyText"/>
              <w:keepNext w:val="0"/>
              <w:spacing w:after="80" w:line="252" w:lineRule="auto"/>
              <w:jc w:val="left"/>
            </w:pPr>
            <w:r>
              <w:rPr>
                <w:rFonts w:ascii="Calibri" w:hAnsi="Calibri"/>
                <w:sz w:val="17"/>
              </w:rPr>
              <w:t xml:space="preserve">g alone, no created entity</w:t>
            </w:r>
          </w:p>
        </w:tc>
        <w:tc>
          <w:tcPr>
            <w:tcW w:type="dxa" w:w="2749"/>
          </w:tcPr>
          <w:p>
            <w:pPr>
              <w:pStyle w:val="BodyText"/>
              <w:keepNext w:val="0"/>
              <w:spacing w:after="80" w:line="252" w:lineRule="auto"/>
              <w:jc w:val="left"/>
            </w:pPr>
            <w:r>
              <w:rPr>
                <w:rFonts w:ascii="Calibri" w:hAnsi="Calibri"/>
                <w:sz w:val="17"/>
              </w:rPr>
              <w:t xml:space="preserve">the same</w:t>
            </w:r>
          </w:p>
        </w:tc>
        <w:tc>
          <w:tcPr>
            <w:tcW w:type="dxa" w:w="2749"/>
          </w:tcPr>
          <w:p>
            <w:pPr>
              <w:pStyle w:val="BodyText"/>
              <w:keepNext w:val="0"/>
              <w:spacing w:after="80" w:line="252" w:lineRule="auto"/>
              <w:jc w:val="left"/>
            </w:pPr>
            <w:r>
              <w:rPr>
                <w:rFonts w:ascii="Calibri" w:hAnsi="Calibri"/>
                <w:sz w:val="17"/>
              </w:rPr>
              <w:t xml:space="preserve">forbearance, no created effect</w:t>
            </w:r>
          </w:p>
        </w:tc>
      </w:tr>
    </w:tbl>
    <w:p>
      <w:pPr>
        <w:pStyle w:val="BodyText"/>
      </w:pPr>
      <w:r>
        <w:t xml:space="preserve">Each situation separately records an actual action, understood plans, supporting reasons, control, awareness of the choice, access to the effect, and knowledge. They are not Boolean</w:t>
      </w:r>
      <w:r>
        <w:t xml:space="preserve"> </w:t>
      </w:r>
      <w:r>
        <w:t xml:space="preserve">“</w:t>
      </w:r>
      <w:r>
        <w:t xml:space="preserve">axiom passed</w:t>
      </w:r>
      <w:r>
        <w:t xml:space="preserve">”</w:t>
      </w:r>
      <w:r>
        <w:t xml:space="preserve"> </w:t>
      </w:r>
      <w:r>
        <w:t xml:space="preserve">flags. The evaluator tests relation contents and compares source H/K profiles. The fact that these records are assigned does not demonstrate that intentional control or knowledge is philosophically instantiated.</w:t>
      </w:r>
    </w:p>
    <w:p>
      <w:pPr>
        <w:pStyle w:val="BodyText"/>
      </w:pPr>
      <w:r>
        <w:t xml:space="preserve">The positive interpretation satisfies the original nine clauses plus the added semantic obligations. This demonstrates that the sparse encoding contains no elementary contradiction of its own. It does not prove genuine metaphysical possibility, absolute divine simplicity, or the disputed ontology of contingent facts about actions.</w:t>
      </w:r>
    </w:p>
    <w:bookmarkStart w:id="215" w:name="deletion-witnesses"/>
    <w:p>
      <w:pPr>
        <w:pStyle w:val="Heading4"/>
      </w:pPr>
      <w:r>
        <w:t xml:space="preserve">Deletion witnesses</w:t>
      </w:r>
    </w:p>
    <w:tbl>
      <w:tblPr>
        <w:tblStyle w:val="TableGrid"/>
        <w:tblW w:type="dxa" w:w="9936"/>
        <w:jc w:val="left"/>
        <w:tblLayout w:type="fixed"/>
        <w:tblLook w:firstRow="1" w:lastRow="0" w:firstColumn="0" w:lastColumn="0" w:noHBand="0" w:noVBand="0" w:val="0020"/>
      </w:tblPr>
      <w:tblGrid>
        <w:gridCol w:w="3312"/>
        <w:gridCol w:w="3312"/>
        <w:gridCol w:w="3312"/>
      </w:tblGrid>
      <w:tr>
        <w:trPr>
          <w:tblHeader w:val="true"/>
        </w:trPr>
        <w:tc>
          <w:tcPr>
            <w:tcW w:type="dxa" w:w="3312"/>
            <w:shd w:fill="EAE5DA"/>
          </w:tcPr>
          <w:p>
            <w:pPr>
              <w:pStyle w:val="BodyText"/>
              <w:keepNext w:val="0"/>
              <w:spacing w:after="80" w:line="252" w:lineRule="auto"/>
              <w:jc w:val="left"/>
            </w:pPr>
            <w:r>
              <w:rPr>
                <w:rFonts w:ascii="Calibri" w:hAnsi="Calibri"/>
                <w:b/>
                <w:sz w:val="17"/>
              </w:rPr>
              <w:t xml:space="preserve">Removed</w:t>
            </w:r>
          </w:p>
        </w:tc>
        <w:tc>
          <w:tcPr>
            <w:tcW w:type="dxa" w:w="3312"/>
            <w:shd w:fill="EAE5DA"/>
          </w:tcPr>
          <w:p>
            <w:pPr>
              <w:pStyle w:val="BodyText"/>
              <w:keepNext w:val="0"/>
              <w:spacing w:after="80" w:line="252" w:lineRule="auto"/>
              <w:jc w:val="left"/>
            </w:pPr>
            <w:r>
              <w:rPr>
                <w:rFonts w:ascii="Calibri" w:hAnsi="Calibri"/>
                <w:b/>
                <w:sz w:val="17"/>
              </w:rPr>
              <w:t xml:space="preserve">Concrete change</w:t>
            </w:r>
          </w:p>
        </w:tc>
        <w:tc>
          <w:tcPr>
            <w:tcW w:type="dxa" w:w="3312"/>
            <w:shd w:fill="EAE5DA"/>
          </w:tcPr>
          <w:p>
            <w:pPr>
              <w:pStyle w:val="BodyText"/>
              <w:keepNext w:val="0"/>
              <w:spacing w:after="80" w:line="252" w:lineRule="auto"/>
              <w:jc w:val="left"/>
            </w:pPr>
            <w:r>
              <w:rPr>
                <w:rFonts w:ascii="Calibri" w:hAnsi="Calibri"/>
                <w:b/>
                <w:sz w:val="17"/>
              </w:rPr>
              <w:t xml:space="preserve">Retention and limit</w:t>
            </w:r>
          </w:p>
        </w:tc>
      </w:tr>
      <w:tr>
        <w:tc>
          <w:tcPr>
            <w:tcW w:type="dxa" w:w="3312"/>
          </w:tcPr>
          <w:p>
            <w:pPr>
              <w:pStyle w:val="BodyText"/>
              <w:keepNext w:val="0"/>
              <w:spacing w:after="80" w:line="252" w:lineRule="auto"/>
              <w:jc w:val="left"/>
            </w:pPr>
            <w:r>
              <w:rPr>
                <w:rFonts w:ascii="Calibri" w:hAnsi="Calibri"/>
                <w:sz w:val="17"/>
              </w:rPr>
              <w:t xml:space="preserve">U</w:t>
            </w:r>
          </w:p>
        </w:tc>
        <w:tc>
          <w:tcPr>
            <w:tcW w:type="dxa" w:w="3312"/>
          </w:tcPr>
          <w:p>
            <w:pPr>
              <w:pStyle w:val="BodyText"/>
              <w:keepNext w:val="0"/>
              <w:spacing w:after="80" w:line="252" w:lineRule="auto"/>
              <w:jc w:val="left"/>
            </w:pPr>
            <w:r>
              <w:rPr>
                <w:rFonts w:ascii="Calibri" w:hAnsi="Calibri"/>
                <w:sz w:val="17"/>
              </w:rPr>
              <w:t xml:space="preserve">Add D(g,a,e) in A.</w:t>
            </w:r>
          </w:p>
        </w:tc>
        <w:tc>
          <w:tcPr>
            <w:tcW w:type="dxa" w:w="3312"/>
          </w:tcPr>
          <w:p>
            <w:pPr>
              <w:pStyle w:val="BodyText"/>
              <w:keepNext w:val="0"/>
              <w:spacing w:after="80" w:line="252" w:lineRule="auto"/>
              <w:jc w:val="left"/>
            </w:pPr>
            <w:r>
              <w:rPr>
                <w:rFonts w:ascii="Calibri" w:hAnsi="Calibri"/>
                <w:sz w:val="17"/>
              </w:rPr>
              <w:t xml:space="preserve">Other selected obligations remain; grounding direction is reversed. No source part is required for this witness.</w:t>
            </w:r>
          </w:p>
        </w:tc>
      </w:tr>
      <w:tr>
        <w:tc>
          <w:tcPr>
            <w:tcW w:type="dxa" w:w="3312"/>
          </w:tcPr>
          <w:p>
            <w:pPr>
              <w:pStyle w:val="BodyText"/>
              <w:keepNext w:val="0"/>
              <w:spacing w:after="80" w:line="252" w:lineRule="auto"/>
              <w:jc w:val="left"/>
            </w:pPr>
            <w:r>
              <w:rPr>
                <w:rFonts w:ascii="Calibri" w:hAnsi="Calibri"/>
                <w:sz w:val="17"/>
              </w:rPr>
              <w:t xml:space="preserve">KD</w:t>
            </w:r>
          </w:p>
        </w:tc>
        <w:tc>
          <w:tcPr>
            <w:tcW w:type="dxa" w:w="3312"/>
          </w:tcPr>
          <w:p>
            <w:pPr>
              <w:pStyle w:val="BodyText"/>
              <w:keepNext w:val="0"/>
              <w:spacing w:after="80" w:line="252" w:lineRule="auto"/>
              <w:jc w:val="left"/>
            </w:pPr>
            <w:r>
              <w:rPr>
                <w:rFonts w:ascii="Calibri" w:hAnsi="Calibri"/>
                <w:sz w:val="17"/>
              </w:rPr>
              <w:t xml:space="preserve">In A, add another finite sourced b and K(b,a), but not D(a,b,e).</w:t>
            </w:r>
          </w:p>
        </w:tc>
        <w:tc>
          <w:tcPr>
            <w:tcW w:type="dxa" w:w="3312"/>
          </w:tcPr>
          <w:p>
            <w:pPr>
              <w:pStyle w:val="BodyText"/>
              <w:keepNext w:val="0"/>
              <w:spacing w:after="80" w:line="252" w:lineRule="auto"/>
              <w:jc w:val="left"/>
            </w:pPr>
            <w:r>
              <w:rPr>
                <w:rFonts w:ascii="Calibri" w:hAnsi="Calibri"/>
                <w:sz w:val="17"/>
              </w:rPr>
              <w:t xml:space="preserve">This violates global constitution-grounding while the source remains noncomposite. It does not prove source composition is possible under M + X preserving the full constituent profile.</w:t>
            </w:r>
          </w:p>
        </w:tc>
      </w:tr>
      <w:tr>
        <w:tc>
          <w:tcPr>
            <w:tcW w:type="dxa" w:w="3312"/>
          </w:tcPr>
          <w:p>
            <w:pPr>
              <w:pStyle w:val="BodyText"/>
              <w:keepNext w:val="0"/>
              <w:spacing w:after="80" w:line="252" w:lineRule="auto"/>
              <w:jc w:val="left"/>
            </w:pPr>
            <w:r>
              <w:rPr>
                <w:rFonts w:ascii="Calibri" w:hAnsi="Calibri"/>
                <w:sz w:val="17"/>
              </w:rPr>
              <w:t xml:space="preserve">F</w:t>
            </w:r>
          </w:p>
        </w:tc>
        <w:tc>
          <w:tcPr>
            <w:tcW w:type="dxa" w:w="3312"/>
          </w:tcPr>
          <w:p>
            <w:pPr>
              <w:pStyle w:val="BodyText"/>
              <w:keepNext w:val="0"/>
              <w:spacing w:after="80" w:line="252" w:lineRule="auto"/>
              <w:jc w:val="left"/>
            </w:pPr>
            <w:r>
              <w:rPr>
                <w:rFonts w:ascii="Calibri" w:hAnsi="Calibri"/>
                <w:sz w:val="17"/>
              </w:rPr>
              <w:t xml:space="preserve">Give g finite mode 1 in every situation.</w:t>
            </w:r>
          </w:p>
        </w:tc>
        <w:tc>
          <w:tcPr>
            <w:tcW w:type="dxa" w:w="3312"/>
          </w:tcPr>
          <w:p>
            <w:pPr>
              <w:pStyle w:val="BodyText"/>
              <w:keepNext w:val="0"/>
              <w:spacing w:after="80" w:line="252" w:lineRule="auto"/>
              <w:jc w:val="left"/>
            </w:pPr>
            <w:r>
              <w:rPr>
                <w:rFonts w:ascii="Calibri" w:hAnsi="Calibri"/>
                <w:sz w:val="17"/>
              </w:rPr>
              <w:t xml:space="preserve">X is preserved; inherited unboundedness is lost.</w:t>
            </w:r>
          </w:p>
        </w:tc>
      </w:tr>
      <w:tr>
        <w:tc>
          <w:tcPr>
            <w:tcW w:type="dxa" w:w="3312"/>
          </w:tcPr>
          <w:p>
            <w:pPr>
              <w:pStyle w:val="BodyText"/>
              <w:keepNext w:val="0"/>
              <w:spacing w:after="80" w:line="252" w:lineRule="auto"/>
              <w:jc w:val="left"/>
            </w:pPr>
            <w:r>
              <w:rPr>
                <w:rFonts w:ascii="Calibri" w:hAnsi="Calibri"/>
                <w:sz w:val="17"/>
              </w:rPr>
              <w:t xml:space="preserve">M</w:t>
            </w:r>
          </w:p>
        </w:tc>
        <w:tc>
          <w:tcPr>
            <w:tcW w:type="dxa" w:w="3312"/>
          </w:tcPr>
          <w:p>
            <w:pPr>
              <w:pStyle w:val="BodyText"/>
              <w:keepNext w:val="0"/>
              <w:spacing w:after="80" w:line="252" w:lineRule="auto"/>
              <w:jc w:val="left"/>
            </w:pPr>
            <w:r>
              <w:rPr>
                <w:rFonts w:ascii="Calibri" w:hAnsi="Calibri"/>
                <w:sz w:val="17"/>
              </w:rPr>
              <w:t xml:space="preserve">Retain only A.</w:t>
            </w:r>
          </w:p>
        </w:tc>
        <w:tc>
          <w:tcPr>
            <w:tcW w:type="dxa" w:w="3312"/>
          </w:tcPr>
          <w:p>
            <w:pPr>
              <w:pStyle w:val="BodyText"/>
              <w:keepNext w:val="0"/>
              <w:spacing w:after="80" w:line="252" w:lineRule="auto"/>
              <w:jc w:val="left"/>
            </w:pPr>
            <w:r>
              <w:rPr>
                <w:rFonts w:ascii="Calibri" w:hAnsi="Calibri"/>
                <w:sz w:val="17"/>
              </w:rPr>
              <w:t xml:space="preserve">Every original clause survives; no creation alternative is present.</w:t>
            </w:r>
          </w:p>
        </w:tc>
      </w:tr>
      <w:tr>
        <w:tc>
          <w:tcPr>
            <w:tcW w:type="dxa" w:w="3312"/>
          </w:tcPr>
          <w:p>
            <w:pPr>
              <w:pStyle w:val="BodyText"/>
              <w:keepNext w:val="0"/>
              <w:spacing w:after="80" w:line="252" w:lineRule="auto"/>
              <w:jc w:val="left"/>
            </w:pPr>
            <w:r>
              <w:rPr>
                <w:rFonts w:ascii="Calibri" w:hAnsi="Calibri"/>
                <w:sz w:val="17"/>
              </w:rPr>
              <w:t xml:space="preserve">I</w:t>
            </w:r>
          </w:p>
        </w:tc>
        <w:tc>
          <w:tcPr>
            <w:tcW w:type="dxa" w:w="3312"/>
          </w:tcPr>
          <w:p>
            <w:pPr>
              <w:pStyle w:val="BodyText"/>
              <w:keepNext w:val="0"/>
              <w:spacing w:after="80" w:line="252" w:lineRule="auto"/>
              <w:jc w:val="left"/>
            </w:pPr>
            <w:r>
              <w:rPr>
                <w:rFonts w:ascii="Calibri" w:hAnsi="Calibri"/>
                <w:sz w:val="17"/>
              </w:rPr>
              <w:t xml:space="preserve">Retain representation of the actual plan but omit its grasp of the other alternatives.</w:t>
            </w:r>
          </w:p>
        </w:tc>
        <w:tc>
          <w:tcPr>
            <w:tcW w:type="dxa" w:w="3312"/>
          </w:tcPr>
          <w:p>
            <w:pPr>
              <w:pStyle w:val="BodyText"/>
              <w:keepNext w:val="0"/>
              <w:spacing w:after="80" w:line="252" w:lineRule="auto"/>
              <w:jc w:val="left"/>
            </w:pPr>
            <w:r>
              <w:rPr>
                <w:rFonts w:ascii="Calibri" w:hAnsi="Calibri"/>
                <w:sz w:val="17"/>
              </w:rPr>
              <w:t xml:space="preserve">Control and productive sourcing remain; full apprehension of the relevant alternatives is absent.</w:t>
            </w:r>
          </w:p>
        </w:tc>
      </w:tr>
      <w:tr>
        <w:tc>
          <w:tcPr>
            <w:tcW w:type="dxa" w:w="3312"/>
          </w:tcPr>
          <w:p>
            <w:pPr>
              <w:pStyle w:val="BodyText"/>
              <w:keepNext w:val="0"/>
              <w:spacing w:after="80" w:line="252" w:lineRule="auto"/>
              <w:jc w:val="left"/>
            </w:pPr>
            <w:r>
              <w:rPr>
                <w:rFonts w:ascii="Calibri" w:hAnsi="Calibri"/>
                <w:sz w:val="17"/>
              </w:rPr>
              <w:t xml:space="preserve">A</w:t>
            </w:r>
          </w:p>
        </w:tc>
        <w:tc>
          <w:tcPr>
            <w:tcW w:type="dxa" w:w="3312"/>
          </w:tcPr>
          <w:p>
            <w:pPr>
              <w:pStyle w:val="BodyText"/>
              <w:keepNext w:val="0"/>
              <w:spacing w:after="80" w:line="252" w:lineRule="auto"/>
              <w:jc w:val="left"/>
            </w:pPr>
            <w:r>
              <w:rPr>
                <w:rFonts w:ascii="Calibri" w:hAnsi="Calibri"/>
                <w:sz w:val="17"/>
              </w:rPr>
              <w:t xml:space="preserve">Remove the intentional-control relation while retaining sourced outputs.</w:t>
            </w:r>
          </w:p>
        </w:tc>
        <w:tc>
          <w:tcPr>
            <w:tcW w:type="dxa" w:w="3312"/>
          </w:tcPr>
          <w:p>
            <w:pPr>
              <w:pStyle w:val="BodyText"/>
              <w:keepNext w:val="0"/>
              <w:spacing w:after="80" w:line="252" w:lineRule="auto"/>
              <w:jc w:val="left"/>
            </w:pPr>
            <w:r>
              <w:rPr>
                <w:rFonts w:ascii="Calibri" w:hAnsi="Calibri"/>
                <w:sz w:val="17"/>
              </w:rPr>
              <w:t xml:space="preserve">A source-level spontaneous process is represented without introducing a causally independent actual mechanism.</w:t>
            </w:r>
          </w:p>
        </w:tc>
      </w:tr>
      <w:tr>
        <w:tc>
          <w:tcPr>
            <w:tcW w:type="dxa" w:w="3312"/>
          </w:tcPr>
          <w:p>
            <w:pPr>
              <w:pStyle w:val="BodyText"/>
              <w:keepNext w:val="0"/>
              <w:spacing w:after="80" w:line="252" w:lineRule="auto"/>
              <w:jc w:val="left"/>
            </w:pPr>
            <w:r>
              <w:rPr>
                <w:rFonts w:ascii="Calibri" w:hAnsi="Calibri"/>
                <w:sz w:val="17"/>
              </w:rPr>
              <w:t xml:space="preserve">T</w:t>
            </w:r>
          </w:p>
        </w:tc>
        <w:tc>
          <w:tcPr>
            <w:tcW w:type="dxa" w:w="3312"/>
          </w:tcPr>
          <w:p>
            <w:pPr>
              <w:pStyle w:val="BodyText"/>
              <w:keepNext w:val="0"/>
              <w:spacing w:after="80" w:line="252" w:lineRule="auto"/>
              <w:jc w:val="left"/>
            </w:pPr>
            <w:r>
              <w:rPr>
                <w:rFonts w:ascii="Calibri" w:hAnsi="Calibri"/>
                <w:sz w:val="17"/>
              </w:rPr>
              <w:t xml:space="preserve">In A, the selected plan is B but effective output is a.</w:t>
            </w:r>
          </w:p>
        </w:tc>
        <w:tc>
          <w:tcPr>
            <w:tcW w:type="dxa" w:w="3312"/>
          </w:tcPr>
          <w:p>
            <w:pPr>
              <w:pStyle w:val="BodyText"/>
              <w:keepNext w:val="0"/>
              <w:spacing w:after="80" w:line="252" w:lineRule="auto"/>
              <w:jc w:val="left"/>
            </w:pPr>
            <w:r>
              <w:rPr>
                <w:rFonts w:ascii="Calibri" w:hAnsi="Calibri"/>
                <w:sz w:val="17"/>
              </w:rPr>
              <w:t xml:space="preserve">Original ontology and other sparse obligations survive; intended/effective alignment fails. Unlimited actuality alone does not imply infallible execution in this signature.</w:t>
            </w:r>
          </w:p>
        </w:tc>
      </w:tr>
      <w:tr>
        <w:tc>
          <w:tcPr>
            <w:tcW w:type="dxa" w:w="3312"/>
          </w:tcPr>
          <w:p>
            <w:pPr>
              <w:pStyle w:val="BodyText"/>
              <w:keepNext w:val="0"/>
              <w:spacing w:after="80" w:line="252" w:lineRule="auto"/>
              <w:jc w:val="left"/>
            </w:pPr>
            <w:r>
              <w:rPr>
                <w:rFonts w:ascii="Calibri" w:hAnsi="Calibri"/>
                <w:sz w:val="17"/>
              </w:rPr>
              <w:t xml:space="preserve">R</w:t>
            </w:r>
          </w:p>
        </w:tc>
        <w:tc>
          <w:tcPr>
            <w:tcW w:type="dxa" w:w="3312"/>
          </w:tcPr>
          <w:p>
            <w:pPr>
              <w:pStyle w:val="BodyText"/>
              <w:keepNext w:val="0"/>
              <w:spacing w:after="80" w:line="252" w:lineRule="auto"/>
              <w:jc w:val="left"/>
            </w:pPr>
            <w:r>
              <w:rPr>
                <w:rFonts w:ascii="Calibri" w:hAnsi="Calibri"/>
                <w:sz w:val="17"/>
              </w:rPr>
              <w:t xml:space="preserve">Remove access to one’s actual choice.</w:t>
            </w:r>
          </w:p>
        </w:tc>
        <w:tc>
          <w:tcPr>
            <w:tcW w:type="dxa" w:w="3312"/>
          </w:tcPr>
          <w:p>
            <w:pPr>
              <w:pStyle w:val="BodyText"/>
              <w:keepNext w:val="0"/>
              <w:spacing w:after="80" w:line="252" w:lineRule="auto"/>
              <w:jc w:val="left"/>
            </w:pPr>
            <w:r>
              <w:rPr>
                <w:rFonts w:ascii="Calibri" w:hAnsi="Calibri"/>
                <w:sz w:val="17"/>
              </w:rPr>
              <w:t xml:space="preserve">Possibilities remain represented; no disclosure of the actual action is inferred.</w:t>
            </w:r>
          </w:p>
        </w:tc>
      </w:tr>
      <w:tr>
        <w:tc>
          <w:tcPr>
            <w:tcW w:type="dxa" w:w="3312"/>
          </w:tcPr>
          <w:p>
            <w:pPr>
              <w:pStyle w:val="BodyText"/>
              <w:keepNext w:val="0"/>
              <w:spacing w:after="80" w:line="252" w:lineRule="auto"/>
              <w:jc w:val="left"/>
            </w:pPr>
            <w:r>
              <w:rPr>
                <w:rFonts w:ascii="Calibri" w:hAnsi="Calibri"/>
                <w:sz w:val="17"/>
              </w:rPr>
              <w:t xml:space="preserve">CT</w:t>
            </w:r>
          </w:p>
        </w:tc>
        <w:tc>
          <w:tcPr>
            <w:tcW w:type="dxa" w:w="3312"/>
          </w:tcPr>
          <w:p>
            <w:pPr>
              <w:pStyle w:val="BodyText"/>
              <w:keepNext w:val="0"/>
              <w:spacing w:after="80" w:line="252" w:lineRule="auto"/>
              <w:jc w:val="left"/>
            </w:pPr>
            <w:r>
              <w:rPr>
                <w:rFonts w:ascii="Calibri" w:hAnsi="Calibri"/>
                <w:sz w:val="17"/>
              </w:rPr>
              <w:t xml:space="preserve">Remove causal-access relation.</w:t>
            </w:r>
          </w:p>
        </w:tc>
        <w:tc>
          <w:tcPr>
            <w:tcW w:type="dxa" w:w="3312"/>
          </w:tcPr>
          <w:p>
            <w:pPr>
              <w:pStyle w:val="BodyText"/>
              <w:keepNext w:val="0"/>
              <w:spacing w:after="80" w:line="252" w:lineRule="auto"/>
              <w:jc w:val="left"/>
            </w:pPr>
            <w:r>
              <w:rPr>
                <w:rFonts w:ascii="Calibri" w:hAnsi="Calibri"/>
                <w:sz w:val="17"/>
              </w:rPr>
              <w:t xml:space="preserve">Selection access remains but its actual effect is not disclosed by that route.</w:t>
            </w:r>
          </w:p>
        </w:tc>
      </w:tr>
      <w:tr>
        <w:tc>
          <w:tcPr>
            <w:tcW w:type="dxa" w:w="3312"/>
          </w:tcPr>
          <w:p>
            <w:pPr>
              <w:pStyle w:val="BodyText"/>
              <w:keepNext w:val="0"/>
              <w:spacing w:after="80" w:line="252" w:lineRule="auto"/>
              <w:jc w:val="left"/>
            </w:pPr>
            <w:r>
              <w:rPr>
                <w:rFonts w:ascii="Calibri" w:hAnsi="Calibri"/>
                <w:sz w:val="17"/>
              </w:rPr>
              <w:t xml:space="preserve">X</w:t>
            </w:r>
          </w:p>
        </w:tc>
        <w:tc>
          <w:tcPr>
            <w:tcW w:type="dxa" w:w="3312"/>
          </w:tcPr>
          <w:p>
            <w:pPr>
              <w:pStyle w:val="BodyText"/>
              <w:keepNext w:val="0"/>
              <w:spacing w:after="80" w:line="252" w:lineRule="auto"/>
              <w:jc w:val="left"/>
            </w:pPr>
            <w:r>
              <w:rPr>
                <w:rFonts w:ascii="Calibri" w:hAnsi="Calibri"/>
                <w:sz w:val="17"/>
              </w:rPr>
              <w:t xml:space="preserve">Add intrinsic H(g,intention-A,1), H(g,intention-B,1), etc., across respective situations.</w:t>
            </w:r>
          </w:p>
        </w:tc>
        <w:tc>
          <w:tcPr>
            <w:tcW w:type="dxa" w:w="3312"/>
          </w:tcPr>
          <w:p>
            <w:pPr>
              <w:pStyle w:val="BodyText"/>
              <w:keepNext w:val="0"/>
              <w:spacing w:after="80" w:line="252" w:lineRule="auto"/>
              <w:jc w:val="left"/>
            </w:pPr>
            <w:r>
              <w:rPr>
                <w:rFonts w:ascii="Calibri" w:hAnsi="Calibri"/>
                <w:sz w:val="17"/>
              </w:rPr>
              <w:t xml:space="preserve">All original local clauses including U/KD survive; proper constituency remains empty. Intrinsic variation is not itself composition or reception.</w:t>
            </w:r>
          </w:p>
        </w:tc>
      </w:tr>
      <w:tr>
        <w:tc>
          <w:tcPr>
            <w:tcW w:type="dxa" w:w="3312"/>
          </w:tcPr>
          <w:p>
            <w:pPr>
              <w:pStyle w:val="BodyText"/>
              <w:keepNext w:val="0"/>
              <w:spacing w:after="80" w:line="252" w:lineRule="auto"/>
              <w:jc w:val="left"/>
            </w:pPr>
            <w:r>
              <w:rPr>
                <w:rFonts w:ascii="Calibri" w:hAnsi="Calibri"/>
                <w:sz w:val="17"/>
              </w:rPr>
              <w:t xml:space="preserve">EP</w:t>
            </w:r>
          </w:p>
        </w:tc>
        <w:tc>
          <w:tcPr>
            <w:tcW w:type="dxa" w:w="3312"/>
          </w:tcPr>
          <w:p>
            <w:pPr>
              <w:pStyle w:val="BodyText"/>
              <w:keepNext w:val="0"/>
              <w:spacing w:after="80" w:line="252" w:lineRule="auto"/>
              <w:jc w:val="left"/>
            </w:pPr>
            <w:r>
              <w:rPr>
                <w:rFonts w:ascii="Calibri" w:hAnsi="Calibri"/>
                <w:sz w:val="17"/>
              </w:rPr>
              <w:t xml:space="preserve">Retain matching access records but omit the warranted knowledge relation in A.</w:t>
            </w:r>
          </w:p>
        </w:tc>
        <w:tc>
          <w:tcPr>
            <w:tcW w:type="dxa" w:w="3312"/>
          </w:tcPr>
          <w:p>
            <w:pPr>
              <w:pStyle w:val="BodyText"/>
              <w:keepNext w:val="0"/>
              <w:spacing w:after="80" w:line="252" w:lineRule="auto"/>
              <w:jc w:val="left"/>
            </w:pPr>
            <w:r>
              <w:rPr>
                <w:rFonts w:ascii="Calibri" w:hAnsi="Calibri"/>
                <w:sz w:val="17"/>
              </w:rPr>
              <w:t xml:space="preserve">The evaluator detects failure of the epistemic obligation rather than silently generating knowledge.</w:t>
            </w:r>
          </w:p>
        </w:tc>
      </w:tr>
    </w:tbl>
    <w:p>
      <w:pPr>
        <w:pStyle w:val="BodyText"/>
      </w:pPr>
      <w:r>
        <w:t xml:space="preserve">These interpretations check clause separation in a deliberately sparse semantics. The failures of I/A/R/CT are not proofs that a richly specified intelligent perfect agent could instantiate the same deficiencies. Such perfection claims would introduce additional constraints and may change redundancy. A model must be rechecked when stronger premises are added.</w:t>
      </w:r>
    </w:p>
    <w:bookmarkEnd w:id="215"/>
    <w:bookmarkStart w:id="216" w:name="a-discovered-alternative-derivation"/>
    <w:p>
      <w:pPr>
        <w:pStyle w:val="Heading4"/>
      </w:pPr>
      <w:r>
        <w:t xml:space="preserve">A discovered alternative derivation</w:t>
      </w:r>
    </w:p>
    <w:p>
      <w:pPr>
        <w:pStyle w:val="FirstParagraph"/>
      </w:pPr>
      <w:r>
        <w:t xml:space="preserve">Under the scoped assumption that every actual entity other than g is created, M’s no-creation situation contains no proper source constituent. If X preserves the full constituent profile across all admitted worlds, then source noncomposition follows in the other worlds as well. KD is therefore not the only route to that conclusion in the stronger combined model.</w:t>
      </w:r>
    </w:p>
    <w:p>
      <w:pPr>
        <w:pStyle w:val="BodyText"/>
      </w:pPr>
      <w:r>
        <w:t xml:space="preserve">This is why the extended KD witness uses a created composite rather than pretending that a composite source can satisfy M and this strong X. The first page’s single-situation KD deletion witness remains valid for its weaker retained theory. The new result is explanatory redundancy relative to stronger assumptions, not an independently warranted shortcut to divine simplicity: M and X themselves are additional commitments.</w:t>
      </w:r>
    </w:p>
    <w:bookmarkEnd w:id="216"/>
    <w:bookmarkEnd w:id="217"/>
    <w:bookmarkStart w:id="218" w:name="Xa4e1a52bf98dfd4c8a65e58aec8c9afd9d78c08"/>
    <w:p>
      <w:pPr>
        <w:pStyle w:val="Heading3"/>
      </w:pPr>
      <w:r>
        <w:t xml:space="preserve">Rival explanations and decisive objections</w:t>
      </w:r>
    </w:p>
    <w:p>
      <w:pPr>
        <w:pStyle w:val="Compact"/>
        <w:numPr>
          <w:ilvl w:val="0"/>
          <w:numId w:val="1008"/>
        </w:numPr>
      </w:pPr>
      <w:r>
        <w:rPr>
          <w:b/>
          <w:bCs/>
        </w:rPr>
        <w:t xml:space="preserve">Necessary emanation:</w:t>
      </w:r>
      <w:r>
        <w:t xml:space="preserve"> </w:t>
      </w:r>
      <w:r>
        <w:t xml:space="preserve">retains infinity, source noncomposition, noncompletion, and all sourcing. Only asserted alternatives block it. The witness does not identify Dionysius with this model.</w:t>
      </w:r>
    </w:p>
    <w:p>
      <w:pPr>
        <w:pStyle w:val="Compact"/>
        <w:numPr>
          <w:ilvl w:val="0"/>
          <w:numId w:val="1008"/>
        </w:numPr>
      </w:pPr>
      <w:r>
        <w:rPr>
          <w:b/>
          <w:bCs/>
        </w:rPr>
        <w:t xml:space="preserve">Impersonal indeterminism:</w:t>
      </w:r>
      <w:r>
        <w:t xml:space="preserve"> </w:t>
      </w:r>
      <w:r>
        <w:t xml:space="preserve">preserves productive grounding without positing an independently actual selector. Intentional control is genuinely additional. A rationally permitted random outcome is not thereby the agent’s direct intentional choice.</w:t>
      </w:r>
    </w:p>
    <w:p>
      <w:pPr>
        <w:pStyle w:val="Compact"/>
        <w:numPr>
          <w:ilvl w:val="0"/>
          <w:numId w:val="1008"/>
        </w:numPr>
      </w:pPr>
      <w:r>
        <w:rPr>
          <w:b/>
          <w:bCs/>
        </w:rPr>
        <w:t xml:space="preserve">Intrinsic intentional variation:</w:t>
      </w:r>
      <w:r>
        <w:t xml:space="preserve"> </w:t>
      </w:r>
      <w:r>
        <w:t xml:space="preserve">retains local noncomposition and underivation while rejecting X. This is a serious rival, not an automatic acquired-part theory. A stronger identity-of-act doctrine must explain why it is excluded.</w:t>
      </w:r>
    </w:p>
    <w:p>
      <w:pPr>
        <w:pStyle w:val="Compact"/>
        <w:numPr>
          <w:ilvl w:val="0"/>
          <w:numId w:val="1008"/>
        </w:numPr>
      </w:pPr>
      <w:r>
        <w:rPr>
          <w:b/>
          <w:bCs/>
        </w:rPr>
        <w:t xml:space="preserve">Merely external denomination:</w:t>
      </w:r>
      <w:r>
        <w:t xml:space="preserve"> </w:t>
      </w:r>
      <w:r>
        <w:t xml:space="preserve">can correctly state</w:t>
      </w:r>
      <w:r>
        <w:t xml:space="preserve"> </w:t>
      </w:r>
      <w:r>
        <w:t xml:space="preserve">“</w:t>
      </w:r>
      <w:r>
        <w:t xml:space="preserve">creator of A</w:t>
      </w:r>
      <w:r>
        <w:t xml:space="preserve">”</w:t>
      </w:r>
      <w:r>
        <w:t xml:space="preserve"> </w:t>
      </w:r>
      <w:r>
        <w:t xml:space="preserve">but may leave the difference between causing and intentionally settling A unexplained. Denomination is not dismissed as causally idle in every possible ontology.</w:t>
      </w:r>
    </w:p>
    <w:p>
      <w:pPr>
        <w:pStyle w:val="Compact"/>
        <w:numPr>
          <w:ilvl w:val="0"/>
          <w:numId w:val="1008"/>
        </w:numPr>
      </w:pPr>
      <w:r>
        <w:rPr>
          <w:b/>
          <w:bCs/>
        </w:rPr>
        <w:t xml:space="preserve">Action as a real relation:</w:t>
      </w:r>
      <w:r>
        <w:t xml:space="preserve"> </w:t>
      </w:r>
      <w:r>
        <w:t xml:space="preserve">proposes a controlled action directed to a particular effect without an acquired source constituent. Its central burden is explaining its real contingency without making it a third independent reality or concealing intrinsic determination.</w:t>
      </w:r>
    </w:p>
    <w:p>
      <w:pPr>
        <w:pStyle w:val="Compact"/>
        <w:numPr>
          <w:ilvl w:val="0"/>
          <w:numId w:val="1008"/>
        </w:numPr>
      </w:pPr>
      <w:r>
        <w:rPr>
          <w:b/>
          <w:bCs/>
        </w:rPr>
        <w:t xml:space="preserve">Other knowledge without receptive learning:</w:t>
      </w:r>
      <w:r>
        <w:t xml:space="preserve"> </w:t>
      </w:r>
      <w:r>
        <w:t xml:space="preserve">a direct cognitive relation can be assigned without R/CT while U remains true. Thus deleting the preferred productive route does not prove ignorance or receptive learning. Its independent warrant is still needed.</w:t>
      </w:r>
    </w:p>
    <w:p>
      <w:pPr>
        <w:pStyle w:val="FirstParagraph"/>
      </w:pPr>
      <w:r>
        <w:t xml:space="preserve">The strongest truthmaking objection is this: if g’s intrinsic actuality alone necessitates the complete fact of its willing A, then A may become necessary given effective divine action. The threat is modal collapse, the loss of genuine alternatives to creation; it does not follow automatically from noncomposition. If g alone does not necessitate that fact, what additional reality or primitive fact makes this particular exercise actual? The present model answers: an actual voluntary action, admitted as irreducible. That is a clear explanatory stopping point, not an elimination of the objection. Its compatibility with stronger identity-of-divine-act accounts remains contested.</w:t>
      </w:r>
    </w:p>
    <w:p>
      <w:pPr>
        <w:pStyle w:val="BodyText"/>
      </w:pPr>
      <w:r>
        <w:t xml:space="preserve">The strongest knowledge objection is parallel: if the particular intention lies entirely outside the source’s intrinsic cognitive actuality, why does knowing that actuality disclose this actual action rather than every possibility indifferently? R, CT, and EP make the needed access and warrant explicit. They are a proposed active-cognition response, not a consequence of X.</w:t>
      </w:r>
    </w:p>
    <w:bookmarkEnd w:id="218"/>
    <w:bookmarkStart w:id="219" w:name="where-this-reconstruction-stops"/>
    <w:p>
      <w:pPr>
        <w:pStyle w:val="Heading3"/>
      </w:pPr>
      <w:r>
        <w:t xml:space="preserve">Where this reconstruction stops</w:t>
      </w:r>
    </w:p>
    <w:p>
      <w:pPr>
        <w:pStyle w:val="FirstParagraph"/>
      </w:pPr>
      <w:r>
        <w:t xml:space="preserve">The definition chain is not circular: plans describe possibilities; action and control are separately represented; correspondence between plan and effect connects intentional action to creation; awareness and warrant connect actual action to knowledge. No definition of participation contains freedom or knowledge. Knowledge of possibilities can guide action without being inferred from the actual effect; knowledge of actual exercise is reflexive rather than a premise that creates itself.</w:t>
      </w:r>
    </w:p>
    <w:p>
      <w:pPr>
        <w:pStyle w:val="BodyText"/>
      </w:pPr>
      <w:r>
        <w:t xml:space="preserve">Nevertheless, agency and knowledge are not reduced to primitive actuality. The model ends at actual voluntary action and warranted awareness of that action. Calling the topic</w:t>
      </w:r>
      <w:r>
        <w:t xml:space="preserve"> </w:t>
      </w:r>
      <w:r>
        <w:t xml:space="preserve">“</w:t>
      </w:r>
      <w:r>
        <w:t xml:space="preserve">divine action,</w:t>
      </w:r>
      <w:r>
        <w:t xml:space="preserve">”</w:t>
      </w:r>
      <w:r>
        <w:t xml:space="preserve"> </w:t>
      </w:r>
      <w:r>
        <w:t xml:space="preserve">or describing knowledge as productive, supplies neither the actual choice nor the cognitive adequacy requiring defense.</w:t>
      </w:r>
    </w:p>
    <w:p>
      <w:pPr>
        <w:pStyle w:val="BodyText"/>
      </w:pPr>
      <w:r>
        <w:t xml:space="preserve">The result is an audited conditional architecture, with a meaningful rival retaining noncomposition while rejecting X. It does not establish full classical simplicity or omniscience, and it does not offer a historical attribution of the whole system.</w:t>
      </w:r>
    </w:p>
    <w:bookmarkEnd w:id="219"/>
    <w:bookmarkEnd w:id="220"/>
    <w:p>
      <w:pPr>
        <w:pStyle w:val="Heading1"/>
      </w:pPr>
      <w:r>
        <w:t xml:space="preserve">Appendix C — beyond-sources.md</w:t>
      </w:r>
    </w:p>
    <w:p>
      <w:pPr>
        <w:pStyle w:val="FirstParagraph"/>
      </w:pPr>
      <w:r>
        <w:t xml:space="preserve">Original research file: https:/​/​participation-​6o4.​pages.​dev/​research/​beyond-​sources.​md</w:t>
      </w:r>
    </w:p>
    <w:bookmarkStart w:id="230" w:name="Xf567504f92d13dc4235976a4c916a51b91a86e5"/>
    <w:p>
      <w:pPr>
        <w:pStyle w:val="Heading2"/>
      </w:pPr>
      <w:r>
        <w:t xml:space="preserve">Beyond Participation: source and historical dossier</w:t>
      </w:r>
    </w:p>
    <w:bookmarkStart w:id="221" w:name="consultation-method"/>
    <w:p>
      <w:pPr>
        <w:pStyle w:val="Heading3"/>
      </w:pPr>
      <w:r>
        <w:t xml:space="preserve">Consultation method</w:t>
      </w:r>
    </w:p>
    <w:p>
      <w:pPr>
        <w:pStyle w:val="FirstParagraph"/>
      </w:pPr>
      <w:r>
        <w:t xml:space="preserve">The named prospective report</w:t>
      </w:r>
      <w:r>
        <w:t xml:space="preserve"> </w:t>
      </w:r>
      <w:r>
        <w:rPr>
          <w:i/>
          <w:iCs/>
        </w:rPr>
        <w:t xml:space="preserve">The Minimal Bridges from Participation to Simplicity and Freedom</w:t>
      </w:r>
      <w:r>
        <w:t xml:space="preserve"> </w:t>
      </w:r>
      <w:r>
        <w:t xml:space="preserve">was not supplied. The new research starts with the actual Participation report and dossiers, fresh primary consultation of Aquinas and Augustine, and current publisher-hosted specialist entries. Older primary digital witnesses are explicitly identified as reused project evidence. Critical primary editions and named monographs not directly inspected remain leads.</w:t>
      </w:r>
    </w:p>
    <w:p>
      <w:pPr>
        <w:pStyle w:val="BodyText"/>
      </w:pPr>
      <w:r>
        <w:t xml:space="preserve">The website’s source ledger distinguishes the claim, what a source actually establishes, and the project’s constructive use. Historical continuity cannot make a new bridge true by attribution. Exact passages and source status must be retained when the argument is revised.</w:t>
      </w:r>
    </w:p>
    <w:bookmarkEnd w:id="221"/>
    <w:bookmarkStart w:id="222" w:name="aquinas-several-different-joints"/>
    <w:p>
      <w:pPr>
        <w:pStyle w:val="Heading3"/>
      </w:pPr>
      <w:r>
        <w:t xml:space="preserve">1. Aquinas: several different joints</w:t>
      </w:r>
    </w:p>
    <w:p>
      <w:pPr>
        <w:pStyle w:val="FirstParagraph"/>
      </w:pPr>
      <w:r>
        <w:t xml:space="preserve">Primary witness inspected:</w:t>
      </w:r>
      <w:r>
        <w:t xml:space="preserve"> </w:t>
      </w:r>
      <w:r>
        <w:rPr>
          <w:i/>
          <w:iCs/>
        </w:rPr>
        <w:t xml:space="preserve">Summa Theologiae</w:t>
      </w:r>
      <w:r>
        <w:t xml:space="preserve">, Prima Pars, English Dominican Fathers’ Complete American Edition, Project Gutenberg #17611,</w:t>
      </w:r>
      <w:r>
        <w:t xml:space="preserve"> </w:t>
      </w:r>
      <w:hyperlink r:id="rId150">
        <w:r>
          <w:rPr>
            <w:rStyle w:val="Hyperlink"/>
          </w:rPr>
          <w:t xml:space="preserve">mirror</w:t>
        </w:r>
      </w:hyperlink>
      <w:r>
        <w:t xml:space="preserve">. This is a readable historical translation, not a newly collated Latin critical edition.</w:t>
      </w:r>
    </w:p>
    <w:p>
      <w:pPr>
        <w:pStyle w:val="BodyText"/>
      </w:pPr>
      <w:r>
        <w:rPr>
          <w:b/>
          <w:bCs/>
        </w:rPr>
        <w:t xml:space="preserve">ST I q.3 a.7, answer:</w:t>
      </w:r>
      <w:r>
        <w:t xml:space="preserve"> </w:t>
      </w:r>
      <w:r>
        <w:t xml:space="preserve">Aquinas separately invokes earlier exclusions of different kinds of composition, constituent-dependence, a unifying cause, and act/potency. The constituent argument explicitly says that a composite is posterior to and dependent on its components. It supplies a historical resource for KD, while also showing that his whole simplicity doctrine uses more than that one argument. His general unification principle and act/potency argument cannot be silently treated as consequences of mere efficient uncausedness.</w:t>
      </w:r>
    </w:p>
    <w:p>
      <w:pPr>
        <w:pStyle w:val="BodyText"/>
      </w:pPr>
      <w:r>
        <w:rPr>
          <w:b/>
          <w:bCs/>
        </w:rPr>
        <w:t xml:space="preserve">ST I q.14 a.5, answer:</w:t>
      </w:r>
      <w:r>
        <w:t xml:space="preserve"> </w:t>
      </w:r>
      <w:r>
        <w:t xml:space="preserve">knowing oneself perfectly includes knowing one’s power; source power is intelligible in its cause. Aquinas concludes that God knows effects through himself. He relies on divine existence being understanding and on the perfection of that understanding. Those are stronger assumptions than the minimal source profile’s unlimited actuality in respect e.</w:t>
      </w:r>
    </w:p>
    <w:p>
      <w:pPr>
        <w:pStyle w:val="BodyText"/>
      </w:pPr>
      <w:r>
        <w:rPr>
          <w:b/>
          <w:bCs/>
        </w:rPr>
        <w:t xml:space="preserve">ST I q.14 a.8, answer and ad1/ad3:</w:t>
      </w:r>
      <w:r>
        <w:t xml:space="preserve"> </w:t>
      </w:r>
      <w:r>
        <w:t xml:space="preserve">intelligible form alone relates to alternatives; it produces a determinate effect through inclination of will. Knowledge as cause therefore is joined to willing. The relation of consequence—if things are future, they are known—is distinguished from futurity causing divine cognition. This directly supports keeping choice and the direction of knowledge distinct. It does not independently prove that an invariant intrinsic cognitive profile discloses a contingent intentional determination.</w:t>
      </w:r>
    </w:p>
    <w:p>
      <w:pPr>
        <w:pStyle w:val="BodyText"/>
      </w:pPr>
      <w:r>
        <w:rPr>
          <w:b/>
          <w:bCs/>
        </w:rPr>
        <w:t xml:space="preserve">ST I q.19 a.2, answer and replies:</w:t>
      </w:r>
      <w:r>
        <w:t xml:space="preserve"> </w:t>
      </w:r>
      <w:r>
        <w:t xml:space="preserve">divine willing communicates goodness by likeness without multiplying the simple will into a sum of object-specific parts. The end is divine goodness; other things are willed as ordered to it. This is the rational gift model’s principal historical resource, not an inference that diffusion necessitates a cosmos.</w:t>
      </w:r>
    </w:p>
    <w:p>
      <w:pPr>
        <w:pStyle w:val="BodyText"/>
      </w:pPr>
      <w:r>
        <w:rPr>
          <w:b/>
          <w:bCs/>
        </w:rPr>
        <w:t xml:space="preserve">ST I q.19 a.3, answer and ad5:</w:t>
      </w:r>
      <w:r>
        <w:t xml:space="preserve"> </w:t>
      </w:r>
      <w:r>
        <w:t xml:space="preserve">necessary willing of divine goodness does not necessitate means unnecessary to its attainment; creatures add no perfection. Aquinas explicitly locates determination in divine will itself. The reasoning uses a voluntary-power account: noncompletion alone, severed from that account, leaves the necessary-emanator countermodel open. Necessity by supposition—given that God wills something, it follows—must not be mistaken for absolute necessity that he will it.</w:t>
      </w:r>
    </w:p>
    <w:p>
      <w:pPr>
        <w:pStyle w:val="BodyText"/>
      </w:pPr>
      <w:r>
        <w:t xml:space="preserve">Constructive use: retrieve the distinction between intrinsic fullness, rational end, voluntary exercise, and object-relative determination. Do not claim that Aquinas thereby endorsed the page’s independently proposed ontology of a irreducible fact of intentional action. The contemporary modal-collapse and knowledge objections still require examination.</w:t>
      </w:r>
    </w:p>
    <w:bookmarkEnd w:id="222"/>
    <w:bookmarkStart w:id="224" w:name="X2a0be43388797459c34f4a90a63633a4e57cdf3"/>
    <w:p>
      <w:pPr>
        <w:pStyle w:val="Heading3"/>
      </w:pPr>
      <w:r>
        <w:t xml:space="preserve">2. Anselm: freedom’s excellence and intrinsic constitution</w:t>
      </w:r>
    </w:p>
    <w:p>
      <w:pPr>
        <w:pStyle w:val="FirstParagraph"/>
      </w:pPr>
      <w:r>
        <w:t xml:space="preserve">The earlier project directly consulted selected</w:t>
      </w:r>
      <w:r>
        <w:t xml:space="preserve"> </w:t>
      </w:r>
      <w:r>
        <w:rPr>
          <w:i/>
          <w:iCs/>
        </w:rPr>
        <w:t xml:space="preserve">Monologion</w:t>
      </w:r>
      <w:r>
        <w:t xml:space="preserve"> </w:t>
      </w:r>
      <w:r>
        <w:t xml:space="preserve">chapters in imperfect Latin OCR, especially 17 for dependence through composition, 25 for changing relative predicates without intrinsic alteration, and 31/34 for exemplar asymmetry. See</w:t>
      </w:r>
      <w:r>
        <w:t xml:space="preserve"> </w:t>
      </w:r>
      <w:hyperlink r:id="rId223">
        <w:r>
          <w:rPr>
            <w:rStyle w:val="Hyperlink"/>
          </w:rPr>
          <w:t xml:space="preserve">the Latin dossier</w:t>
        </w:r>
      </w:hyperlink>
      <w:r>
        <w:t xml:space="preserve"> </w:t>
      </w:r>
      <w:r>
        <w:t xml:space="preserve">for the digital witness and limits.</w:t>
      </w:r>
    </w:p>
    <w:p>
      <w:pPr>
        <w:pStyle w:val="BodyText"/>
      </w:pPr>
      <w:r>
        <w:t xml:space="preserve">Fresh specialist consultation: Thomas Williams,</w:t>
      </w:r>
      <w:r>
        <w:t xml:space="preserve"> </w:t>
      </w:r>
      <w:hyperlink r:id="rId156">
        <w:r>
          <w:rPr>
            <w:rStyle w:val="Hyperlink"/>
          </w:rPr>
          <w:t xml:space="preserve">“</w:t>
        </w:r>
        <w:r>
          <w:rPr>
            <w:rStyle w:val="Hyperlink"/>
          </w:rPr>
          <w:t xml:space="preserve">Anselm of Canterbury,</w:t>
        </w:r>
        <w:r>
          <w:rPr>
            <w:rStyle w:val="Hyperlink"/>
          </w:rPr>
          <w:t xml:space="preserve">”</w:t>
        </w:r>
        <w:r>
          <w:rPr>
            <w:rStyle w:val="Hyperlink"/>
          </w:rPr>
          <w:t xml:space="preserve"> </w:t>
        </w:r>
        <w:r>
          <w:rPr>
            <w:rStyle w:val="Hyperlink"/>
          </w:rPr>
          <w:t xml:space="preserve">SEP</w:t>
        </w:r>
      </w:hyperlink>
      <w:r>
        <w:t xml:space="preserve">, substantive revision 16 July 2023, §§4.1–4.2. It locates the definition of freedom as preservation of rectitude for its own sake in</w:t>
      </w:r>
      <w:r>
        <w:t xml:space="preserve"> </w:t>
      </w:r>
      <w:r>
        <w:rPr>
          <w:i/>
          <w:iCs/>
        </w:rPr>
        <w:t xml:space="preserve">De libertate arbitrii</w:t>
      </w:r>
      <w:r>
        <w:t xml:space="preserve"> </w:t>
      </w:r>
      <w:r>
        <w:t xml:space="preserve">3 and the rational/moral conditions in</w:t>
      </w:r>
      <w:r>
        <w:t xml:space="preserve"> </w:t>
      </w:r>
      <w:r>
        <w:rPr>
          <w:i/>
          <w:iCs/>
        </w:rPr>
        <w:t xml:space="preserve">De veritate</w:t>
      </w:r>
      <w:r>
        <w:t xml:space="preserve"> </w:t>
      </w:r>
      <w:r>
        <w:t xml:space="preserve">12. Direct critical-edition collation of those freedom texts was not performed here.</w:t>
      </w:r>
    </w:p>
    <w:p>
      <w:pPr>
        <w:pStyle w:val="BodyText"/>
      </w:pPr>
      <w:r>
        <w:t xml:space="preserve">These passages distinguish doing the fitting thing knowingly for its own sake from coercion, reward dependence, or merely having contrary options. God and good angels can lack the ability to sin while remaining free. This is useful against identifying agency with random branching. It is not by itself an argument that God can create A, B, or nothing; a moral-perfection conception of freedom and creation-contingency are distinct theses.</w:t>
      </w:r>
    </w:p>
    <w:bookmarkEnd w:id="224"/>
    <w:bookmarkStart w:id="225" w:name="X090487c099725c0f52fb3519a6411b576379a72"/>
    <w:p>
      <w:pPr>
        <w:pStyle w:val="Heading3"/>
      </w:pPr>
      <w:r>
        <w:t xml:space="preserve">3. Scotus: live contingency and actual-act cognition</w:t>
      </w:r>
    </w:p>
    <w:p>
      <w:pPr>
        <w:pStyle w:val="FirstParagraph"/>
      </w:pPr>
      <w:r>
        <w:t xml:space="preserve">Fresh specialist consultation: Thomas Williams,</w:t>
      </w:r>
      <w:r>
        <w:t xml:space="preserve"> </w:t>
      </w:r>
      <w:hyperlink r:id="rId154">
        <w:r>
          <w:rPr>
            <w:rStyle w:val="Hyperlink"/>
          </w:rPr>
          <w:t xml:space="preserve">“</w:t>
        </w:r>
        <w:r>
          <w:rPr>
            <w:rStyle w:val="Hyperlink"/>
          </w:rPr>
          <w:t xml:space="preserve">John Duns Scotus,</w:t>
        </w:r>
        <w:r>
          <w:rPr>
            <w:rStyle w:val="Hyperlink"/>
          </w:rPr>
          <w:t xml:space="preserve">”</w:t>
        </w:r>
        <w:r>
          <w:rPr>
            <w:rStyle w:val="Hyperlink"/>
          </w:rPr>
          <w:t xml:space="preserve"> </w:t>
        </w:r>
        <w:r>
          <w:rPr>
            <w:rStyle w:val="Hyperlink"/>
          </w:rPr>
          <w:t xml:space="preserve">SEP</w:t>
        </w:r>
      </w:hyperlink>
      <w:r>
        <w:t xml:space="preserve">, substantive revision 15 December 2025, especially §5.2. It presents synchronic contingency as alternatives at the act of willing, not only changes of thought at later moments. It also emphasizes the will’s freedom rather than reducing it to intellectual appetite. Its portrayal of the Aquinas comparison is an interpretation, not a neutral proof that no Thomistic account admits adequate alternatives.</w:t>
      </w:r>
    </w:p>
    <w:p>
      <w:pPr>
        <w:pStyle w:val="BodyText"/>
      </w:pPr>
      <w:r>
        <w:t xml:space="preserve">The entry points to Stephen D. Dumont’s and Scott MacDonald’s 1995 scholarship on synchronic contingency. Those works are bibliographic leads rather than full articles newly read in this run.</w:t>
      </w:r>
      <w:r>
        <w:t xml:space="preserve"> </w:t>
      </w:r>
      <w:r>
        <w:rPr>
          <w:i/>
          <w:iCs/>
        </w:rPr>
        <w:t xml:space="preserve">Lectura</w:t>
      </w:r>
      <w:r>
        <w:t xml:space="preserve"> </w:t>
      </w:r>
      <w:r>
        <w:t xml:space="preserve">I d.39 and the corresponding</w:t>
      </w:r>
      <w:r>
        <w:t xml:space="preserve"> </w:t>
      </w:r>
      <w:r>
        <w:rPr>
          <w:i/>
          <w:iCs/>
        </w:rPr>
        <w:t xml:space="preserve">Ordinatio</w:t>
      </w:r>
      <w:r>
        <w:t xml:space="preserve"> </w:t>
      </w:r>
      <w:r>
        <w:t xml:space="preserve">materials remain critical-primary checking targets. The project does not claim a new direct inspection of those editions.</w:t>
      </w:r>
    </w:p>
    <w:p>
      <w:pPr>
        <w:pStyle w:val="BodyText"/>
      </w:pPr>
      <w:r>
        <w:t xml:space="preserve">§4.2 distinguishes abstractive knowledge of what an act would be from intuitive cognition of one’s actually exemplifying an act. It reports the importance of self-act cognition and cites Richard Cross’s</w:t>
      </w:r>
      <w:r>
        <w:t xml:space="preserve"> </w:t>
      </w:r>
      <w:r>
        <w:rPr>
          <w:i/>
          <w:iCs/>
        </w:rPr>
        <w:t xml:space="preserve">Duns Scotus’s Theory of Cognition</w:t>
      </w:r>
      <w:r>
        <w:t xml:space="preserve"> </w:t>
      </w:r>
      <w:r>
        <w:t xml:space="preserve">(2014), pp.43–64. The book is a lead; the inspected SEP discussion provides the current secondary evidence. Applying this creaturely cognition distinction to an uncreated agent’s adequate awareness of its own action is a constructive move.</w:t>
      </w:r>
    </w:p>
    <w:p>
      <w:pPr>
        <w:pStyle w:val="BodyText"/>
      </w:pPr>
      <w:r>
        <w:t xml:space="preserve">Scotus’s modal resources do not establish the present X assumption or the proposed extrinsic ontology of contingent specification. His formal distinction must not be equated with distinctions of reason, uncreated energies, or brute parts.</w:t>
      </w:r>
    </w:p>
    <w:bookmarkEnd w:id="225"/>
    <w:bookmarkStart w:id="226" w:name="Xbe2e629c48da968c5eafa250e98cee2c28b431d"/>
    <w:p>
      <w:pPr>
        <w:pStyle w:val="Heading3"/>
      </w:pPr>
      <w:r>
        <w:t xml:space="preserve">4. Augustine: new effects do not add cognition</w:t>
      </w:r>
    </w:p>
    <w:p>
      <w:pPr>
        <w:pStyle w:val="FirstParagraph"/>
      </w:pPr>
      <w:r>
        <w:t xml:space="preserve">Primary witness: Marcus Dods’s translation of</w:t>
      </w:r>
      <w:r>
        <w:t xml:space="preserve"> </w:t>
      </w:r>
      <w:r>
        <w:rPr>
          <w:i/>
          <w:iCs/>
        </w:rPr>
        <w:t xml:space="preserve">City of God</w:t>
      </w:r>
      <w:r>
        <w:t xml:space="preserve">, volume I, Gutenberg #45304,</w:t>
      </w:r>
      <w:r>
        <w:t xml:space="preserve"> </w:t>
      </w:r>
      <w:hyperlink r:id="rId162">
        <w:r>
          <w:rPr>
            <w:rStyle w:val="Hyperlink"/>
          </w:rPr>
          <w:t xml:space="preserve">mirror</w:t>
        </w:r>
      </w:hyperlink>
      <w:r>
        <w:t xml:space="preserve">. XI.10 was consulted in Part I; XI.21 was rechecked for this page.</w:t>
      </w:r>
    </w:p>
    <w:p>
      <w:pPr>
        <w:pStyle w:val="BodyText"/>
      </w:pPr>
      <w:r>
        <w:t xml:space="preserve">XI.21 explicitly denies that God first learns the goodness of the completed work from its completion. Things in time are comprehended in stable eternal presence; finished works add no knowledge. The chapter distinguishes maker, means, and reason for making, and uses goodness as the reason that good works are created by the good source. This directly witnesses non-reception and rational creative intelligibility.</w:t>
      </w:r>
    </w:p>
    <w:p>
      <w:pPr>
        <w:pStyle w:val="BodyText"/>
      </w:pPr>
      <w:r>
        <w:t xml:space="preserve">It presupposes a perfect theological knower. It does not prove such cognition from generic underivation or settle the modern cross-world truthmaker of</w:t>
      </w:r>
      <w:r>
        <w:t xml:space="preserve"> </w:t>
      </w:r>
      <w:r>
        <w:t xml:space="preserve">“</w:t>
      </w:r>
      <w:r>
        <w:t xml:space="preserve">God chooses A.</w:t>
      </w:r>
      <w:r>
        <w:t xml:space="preserve">”</w:t>
      </w:r>
      <w:r>
        <w:t xml:space="preserve"> </w:t>
      </w:r>
      <w:r>
        <w:rPr>
          <w:i/>
          <w:iCs/>
        </w:rPr>
        <w:t xml:space="preserve">De diversis quaestionibus 83</w:t>
      </w:r>
      <w:r>
        <w:t xml:space="preserve"> </w:t>
      </w:r>
      <w:r>
        <w:t xml:space="preserve">q.46 is the divine-ideas primary lead in the original project; no new critical collation of it is claimed. Exemplar knowledge must remain distinct from actual selection.</w:t>
      </w:r>
    </w:p>
    <w:bookmarkEnd w:id="226"/>
    <w:bookmarkStart w:id="227" w:name="Xf1a345e3579d1946b6a486db0541c19d8339ba7"/>
    <w:p>
      <w:pPr>
        <w:pStyle w:val="Heading3"/>
      </w:pPr>
      <w:r>
        <w:t xml:space="preserve">5. Dionysius and Maximus: possibilities and realization</w:t>
      </w:r>
    </w:p>
    <w:p>
      <w:pPr>
        <w:pStyle w:val="FirstParagraph"/>
      </w:pPr>
      <w:r>
        <w:t xml:space="preserve">The project’s earlier</w:t>
      </w:r>
      <w:r>
        <w:t xml:space="preserve"> </w:t>
      </w:r>
      <w:hyperlink r:id="rId164">
        <w:r>
          <w:rPr>
            <w:rStyle w:val="Hyperlink"/>
          </w:rPr>
          <w:t xml:space="preserve">Eastern dossier</w:t>
        </w:r>
      </w:hyperlink>
      <w:r>
        <w:t xml:space="preserve"> </w:t>
      </w:r>
      <w:r>
        <w:t xml:space="preserve">directly consulted readable clauses of</w:t>
      </w:r>
      <w:r>
        <w:t xml:space="preserve"> </w:t>
      </w:r>
      <w:r>
        <w:rPr>
          <w:i/>
          <w:iCs/>
        </w:rPr>
        <w:t xml:space="preserve">Divine Names</w:t>
      </w:r>
      <w:r>
        <w:t xml:space="preserve"> </w:t>
      </w:r>
      <w:r>
        <w:t xml:space="preserve">II.5, V.8, IX.6–7 through academic unproofread Greek PG OCR, and</w:t>
      </w:r>
      <w:r>
        <w:t xml:space="preserve"> </w:t>
      </w:r>
      <w:r>
        <w:rPr>
          <w:i/>
          <w:iCs/>
        </w:rPr>
        <w:t xml:space="preserve">Ambiguum</w:t>
      </w:r>
      <w:r>
        <w:t xml:space="preserve"> </w:t>
      </w:r>
      <w:r>
        <w:t xml:space="preserve">7 through a provisional Greek transcription with undocumented source edition. Those qualifications continue to apply. Reliable modern complete translations—Luibheid/Rorem and Constas—remain critical follow-ups.</w:t>
      </w:r>
    </w:p>
    <w:p>
      <w:pPr>
        <w:pStyle w:val="BodyText"/>
      </w:pPr>
      <w:r>
        <w:t xml:space="preserve">Dionysian whole-source participation, reception-dependent impressions, and unified exemplary logoi/divine wills supply resources for communication without source partition. Do not identify Dionysius with necessitarian emanation merely because a necessity countermodel is useful. Modal interpretation of procession is disputed and a text’s use of</w:t>
      </w:r>
      <w:r>
        <w:t xml:space="preserve"> </w:t>
      </w:r>
      <w:r>
        <w:t xml:space="preserve">“</w:t>
      </w:r>
      <w:r>
        <w:t xml:space="preserve">will</w:t>
      </w:r>
      <w:r>
        <w:t xml:space="preserve">”</w:t>
      </w:r>
      <w:r>
        <w:t xml:space="preserve"> </w:t>
      </w:r>
      <w:r>
        <w:t xml:space="preserve">does not alone settle its exact freedom theory.</w:t>
      </w:r>
    </w:p>
    <w:p>
      <w:pPr>
        <w:pStyle w:val="BodyText"/>
      </w:pPr>
      <w:r>
        <w:t xml:space="preserve">Maximus’s passage distinguishes logoi and divine knowledge from the actualization of creatures at their fitting times. This prevents intelligibility from being confused with created existence. It supports differentiated expression without a many-part source. A theory that all specification consists exclusively in extrinsic facts about actions is not thereby present in Maximus’s text. His Christological and teleological context is not reduced to a modern neutral modal calculus.</w:t>
      </w:r>
    </w:p>
    <w:bookmarkEnd w:id="227"/>
    <w:bookmarkStart w:id="228" w:name="X034e3234b72a98398c959c51dfefd17ece32c22"/>
    <w:p>
      <w:pPr>
        <w:pStyle w:val="Heading3"/>
      </w:pPr>
      <w:r>
        <w:t xml:space="preserve">6. Supporting witnesses and genuine development</w:t>
      </w:r>
    </w:p>
    <w:p>
      <w:pPr>
        <w:pStyle w:val="FirstParagraph"/>
      </w:pPr>
      <w:r>
        <w:t xml:space="preserve">Bonaventure’s exemplarism and the distinction among vestige, image, and similitude provide continuity with participation.</w:t>
      </w:r>
      <w:r>
        <w:t xml:space="preserve"> </w:t>
      </w:r>
      <w:r>
        <w:rPr>
          <w:i/>
          <w:iCs/>
        </w:rPr>
        <w:t xml:space="preserve">Itinerarium</w:t>
      </w:r>
      <w:r>
        <w:t xml:space="preserve"> </w:t>
      </w:r>
      <w:r>
        <w:t xml:space="preserve">VI.2’s diffusive goodness concerns trinitarian fecundity and cannot be transferred into a proof of necessary creation. The original dossier distinguishes consulted archived scholarship from limited-provenance primary comparison and reliable editions not read.</w:t>
      </w:r>
    </w:p>
    <w:p>
      <w:pPr>
        <w:pStyle w:val="BodyText"/>
      </w:pPr>
      <w:r>
        <w:t xml:space="preserve">Nyssa’s</w:t>
      </w:r>
      <w:r>
        <w:t xml:space="preserve"> </w:t>
      </w:r>
      <w:r>
        <w:rPr>
          <w:i/>
          <w:iCs/>
        </w:rPr>
        <w:t xml:space="preserve">On the Making of Man</w:t>
      </w:r>
      <w:r>
        <w:t xml:space="preserve"> </w:t>
      </w:r>
      <w:r>
        <w:t xml:space="preserve">XVI, directly consulted in the original project’s Moore/Wilson transcription, differentiates likeness in attributes from underlying created/uncreated nature and discusses created limit and measure.</w:t>
      </w:r>
      <w:r>
        <w:t xml:space="preserve"> </w:t>
      </w:r>
      <w:r>
        <w:rPr>
          <w:i/>
          <w:iCs/>
        </w:rPr>
        <w:t xml:space="preserve">Life of Moses</w:t>
      </w:r>
      <w:r>
        <w:t xml:space="preserve"> </w:t>
      </w:r>
      <w:r>
        <w:t xml:space="preserve">remains a qualified critical-edition lead. Infinity and epektasis do not themselves supply creation alternatives.</w:t>
      </w:r>
    </w:p>
    <w:p>
      <w:pPr>
        <w:pStyle w:val="BodyText"/>
      </w:pPr>
      <w:r>
        <w:t xml:space="preserve">Eriugena’s theophany and Przywara’s Creator–creature interval are supporting tests for expression becoming constitution. Relevant Eriugena source passages were identified through archived specialist discussion; Przywara’s full</w:t>
      </w:r>
      <w:r>
        <w:t xml:space="preserve"> </w:t>
      </w:r>
      <w:r>
        <w:rPr>
          <w:i/>
          <w:iCs/>
        </w:rPr>
        <w:t xml:space="preserve">Analogia Entis</w:t>
      </w:r>
      <w:r>
        <w:t xml:space="preserve"> </w:t>
      </w:r>
      <w:r>
        <w:t xml:space="preserve">was not newly consulted. Neither authority is used as an axiom replacing the missing bridge.</w:t>
      </w:r>
    </w:p>
    <w:p>
      <w:pPr>
        <w:pStyle w:val="BodyText"/>
      </w:pPr>
      <w:r>
        <w:t xml:space="preserve">Additional thinkers are admitted where they improve an argument. Aristotle’s distinction between rational power and its determinate exercise is materially relevant to Aquinas’s knowledge/will argument. Palamite essence–energies and Scotist formal distinctions are controls against declaring all real divine distinctions compositional. Their substantive disagreements are preserved rather than harmonized through a common label.</w:t>
      </w:r>
    </w:p>
    <w:bookmarkEnd w:id="228"/>
    <w:bookmarkStart w:id="229" w:name="contemporary-adversarial-scholarship"/>
    <w:p>
      <w:pPr>
        <w:pStyle w:val="Heading3"/>
      </w:pPr>
      <w:r>
        <w:t xml:space="preserve">7. Contemporary adversarial scholarship</w:t>
      </w:r>
    </w:p>
    <w:p>
      <w:pPr>
        <w:pStyle w:val="FirstParagraph"/>
      </w:pPr>
      <w:r>
        <w:t xml:space="preserve">William F. Vallicella’s</w:t>
      </w:r>
      <w:r>
        <w:t xml:space="preserve"> </w:t>
      </w:r>
      <w:hyperlink r:id="rId158">
        <w:r>
          <w:rPr>
            <w:rStyle w:val="Hyperlink"/>
          </w:rPr>
          <w:t xml:space="preserve">“</w:t>
        </w:r>
        <w:r>
          <w:rPr>
            <w:rStyle w:val="Hyperlink"/>
          </w:rPr>
          <w:t xml:space="preserve">Divine Simplicity,</w:t>
        </w:r>
        <w:r>
          <w:rPr>
            <w:rStyle w:val="Hyperlink"/>
          </w:rPr>
          <w:t xml:space="preserve">”</w:t>
        </w:r>
        <w:r>
          <w:rPr>
            <w:rStyle w:val="Hyperlink"/>
          </w:rPr>
          <w:t xml:space="preserve"> </w:t>
        </w:r>
        <w:r>
          <w:rPr>
            <w:rStyle w:val="Hyperlink"/>
          </w:rPr>
          <w:t xml:space="preserve">SEP</w:t>
        </w:r>
      </w:hyperlink>
      <w:r>
        <w:t xml:space="preserve">, current publisher text with copyright 2023, was inspected at §§6–7 and the adjacent truthmaker discussion. It treats contingent cognition, intrinsic states, aseity, and modal collapse as different problems. It presents Grant’s belief and immediate-cognition models and the Brower/Grant disagreement over dependence of object-relative knowledge.</w:t>
      </w:r>
    </w:p>
    <w:p>
      <w:pPr>
        <w:pStyle w:val="BodyText"/>
      </w:pPr>
      <w:r>
        <w:t xml:space="preserve">The page cites W. Matthews Grant,</w:t>
      </w:r>
      <w:r>
        <w:t xml:space="preserve"> </w:t>
      </w:r>
      <w:r>
        <w:t xml:space="preserve">“</w:t>
      </w:r>
      <w:r>
        <w:t xml:space="preserve">Divine Simplicity, Contingent Truths, and Extrinsic Models of Divine Knowing</w:t>
      </w:r>
      <w:r>
        <w:t xml:space="preserve">”</w:t>
      </w:r>
      <w:r>
        <w:t xml:space="preserve"> </w:t>
      </w:r>
      <w:r>
        <w:t xml:space="preserve">(2012), and Jeffrey E. Brower,</w:t>
      </w:r>
      <w:r>
        <w:t xml:space="preserve"> </w:t>
      </w:r>
      <w:r>
        <w:t xml:space="preserve">“</w:t>
      </w:r>
      <w:r>
        <w:t xml:space="preserve">Simplicity and Aseity</w:t>
      </w:r>
      <w:r>
        <w:t xml:space="preserve">”</w:t>
      </w:r>
      <w:r>
        <w:t xml:space="preserve"> </w:t>
      </w:r>
      <w:r>
        <w:t xml:space="preserve">(2009). These monographs/articles are not presented as fully read here: the consulted SEP exposition supplies the evidence. Their rival ontologies show why the page cannot assume all determinate cognitive content must be an acquired intrinsic accident. Conversely, externalism alone does not demonstrate adequate knowledge or the agent’s intentional control.</w:t>
      </w:r>
    </w:p>
    <w:p>
      <w:pPr>
        <w:pStyle w:val="BodyText"/>
      </w:pPr>
      <w:r>
        <w:t xml:space="preserve">Edward Wierenga’s</w:t>
      </w:r>
      <w:r>
        <w:t xml:space="preserve"> </w:t>
      </w:r>
      <w:hyperlink r:id="rId160">
        <w:r>
          <w:rPr>
            <w:rStyle w:val="Hyperlink"/>
          </w:rPr>
          <w:t xml:space="preserve">“</w:t>
        </w:r>
        <w:r>
          <w:rPr>
            <w:rStyle w:val="Hyperlink"/>
          </w:rPr>
          <w:t xml:space="preserve">Omniscience,</w:t>
        </w:r>
        <w:r>
          <w:rPr>
            <w:rStyle w:val="Hyperlink"/>
          </w:rPr>
          <w:t xml:space="preserve">”</w:t>
        </w:r>
        <w:r>
          <w:rPr>
            <w:rStyle w:val="Hyperlink"/>
          </w:rPr>
          <w:t xml:space="preserve"> </w:t>
        </w:r>
        <w:r>
          <w:rPr>
            <w:rStyle w:val="Hyperlink"/>
          </w:rPr>
          <w:t xml:space="preserve">SEP</w:t>
        </w:r>
      </w:hyperlink>
      <w:r>
        <w:t xml:space="preserve">, substantive revision 10 May 2025, was inspected for complete-knowledge definitions, epistemic adequacy, non-discursivity, and foreknowledge/free-action issues. Complete knowledge of all truths differs from non-reception, infallibility, or lack of discursive inference. The proposed account of knowledge through intentional action has a limited scope; it is not a proved omniscience thesis.</w:t>
      </w:r>
    </w:p>
    <w:p>
      <w:pPr>
        <w:pStyle w:val="BodyText"/>
      </w:pPr>
      <w:r>
        <w:t xml:space="preserve">No source establishes the final constructive model in its entirety. The model’s agency, specification, and epistemic bridges must be defended against these sources’ strongest objections, not merely illustrated by historical quotations.</w:t>
      </w:r>
    </w:p>
    <w:bookmarkEnd w:id="229"/>
    <w:bookmarkEnd w:id="230"/>
    <w:p>
      <w:pPr>
        <w:pStyle w:val="Heading1"/>
      </w:pPr>
      <w:r>
        <w:t xml:space="preserve">Appendix D — beyond-development.md</w:t>
      </w:r>
    </w:p>
    <w:p>
      <w:pPr>
        <w:pStyle w:val="FirstParagraph"/>
      </w:pPr>
      <w:r>
        <w:t xml:space="preserve">Original research file: https:/​/​participation-​6o4.​pages.​dev/​research/​beyond-​development.​md</w:t>
      </w:r>
    </w:p>
    <w:bookmarkStart w:id="242" w:name="X8b87a511cff05601a3d2097f72768bfc0933940"/>
    <w:p>
      <w:pPr>
        <w:pStyle w:val="Heading2"/>
      </w:pPr>
      <w:r>
        <w:t xml:space="preserve">Beyond Participation: Newman-style development assessment</w:t>
      </w:r>
    </w:p>
    <w:bookmarkStart w:id="231" w:name="what-is-being-assessed"/>
    <w:p>
      <w:pPr>
        <w:pStyle w:val="Heading3"/>
      </w:pPr>
      <w:r>
        <w:t xml:space="preserve">What is being assessed</w:t>
      </w:r>
    </w:p>
    <w:p>
      <w:pPr>
        <w:pStyle w:val="FirstParagraph"/>
      </w:pPr>
      <w:r>
        <w:t xml:space="preserve">The proposal concerns divine action: how an underived source could freely and knowingly cause this finite creation without acquiring intrinsic actuality. It distinguishes intrinsic actuality, capacity to act, and actual intentional action. Intentional control and genuine alternatives are added premises. Awareness of one’s own action, adequate disclosure of its effect, and epistemic warrant are further knowledge premises. Describing an intended effect does not establish the choice or the knowledge requiring explanation.</w:t>
      </w:r>
    </w:p>
    <w:p>
      <w:pPr>
        <w:pStyle w:val="BodyText"/>
      </w:pPr>
      <w:r>
        <w:t xml:space="preserve">This is a modern constructive development. Anselm, Aquinas, Scotus, Augustine, Dionysius, and Maximus are principal exemplars at particular joints; Bonaventure, Nyssa, Eriugena, and Przywara provide continuity and stress tests. They set no ceiling on inquiry. Contemporary arguments and new distinctions can materially improve the account. They also cannot erase historical contradictions or create an ecclesial claim that the resulting model is defined doctrine.</w:t>
      </w:r>
    </w:p>
    <w:bookmarkEnd w:id="231"/>
    <w:bookmarkStart w:id="239" w:name="newmans-actual-notes"/>
    <w:p>
      <w:pPr>
        <w:pStyle w:val="Heading3"/>
      </w:pPr>
      <w:r>
        <w:t xml:space="preserve">Newman’s actual notes</w:t>
      </w:r>
    </w:p>
    <w:p>
      <w:pPr>
        <w:pStyle w:val="FirstParagraph"/>
      </w:pPr>
      <w:r>
        <w:t xml:space="preserve">The project consulted</w:t>
      </w:r>
      <w:r>
        <w:t xml:space="preserve"> </w:t>
      </w:r>
      <w:r>
        <w:rPr>
          <w:i/>
          <w:iCs/>
        </w:rPr>
        <w:t xml:space="preserve">An Essay on the Development of Christian Doctrine</w:t>
      </w:r>
      <w:r>
        <w:t xml:space="preserve">, chapter V, through Gutenberg #35110. Its notes are preservation of type, continuity of principles, power of assimilation, logical sequence, anticipation of its future, conservative action upon its past, and chronic vigour. The chapter’s opening notes their varying cogency, independence, and applicability. Their use here is analogical methodology, not ecclesial certification.</w:t>
      </w:r>
    </w:p>
    <w:bookmarkStart w:id="232" w:name="preservation-of-type"/>
    <w:p>
      <w:pPr>
        <w:pStyle w:val="Heading4"/>
      </w:pPr>
      <w:r>
        <w:t xml:space="preserve">Preservation of type</w:t>
      </w:r>
    </w:p>
    <w:p>
      <w:pPr>
        <w:pStyle w:val="FirstParagraph"/>
      </w:pPr>
      <w:r>
        <w:t xml:space="preserve">The type to conserve is a genuinely uncreated, non-receptive source and really actual, finite, distinct expressions. Neither a source partition nor creature-created divine completion is introduced. Voluntary communication should remain real communication; a merely verbal creator-description would not preserve the problem’s type.</w:t>
      </w:r>
    </w:p>
    <w:p>
      <w:pPr>
        <w:pStyle w:val="BodyText"/>
      </w:pPr>
      <w:r>
        <w:t xml:space="preserve">Provisional assessment: the proposed intentional action preserves this type if it is genuinely grounded in active source agency while introducing no acquired divine constituent. Whether that ontology succeeds is not assumed.</w:t>
      </w:r>
    </w:p>
    <w:bookmarkEnd w:id="232"/>
    <w:bookmarkStart w:id="233" w:name="continuity-of-principles"/>
    <w:p>
      <w:pPr>
        <w:pStyle w:val="Heading4"/>
      </w:pPr>
      <w:r>
        <w:t xml:space="preserve">Continuity of principles</w:t>
      </w:r>
    </w:p>
    <w:p>
      <w:pPr>
        <w:pStyle w:val="FirstParagraph"/>
      </w:pPr>
      <w:r>
        <w:t xml:space="preserve">Created actuality continues to be sourced. Noncomposition remains conditional upon constitution-grounding rather than inferred from nonpartition alone. Non-exhaustion remains insufficient for freedom. Cognitive direction remains source-first rather than an effect supplying divine actuality.</w:t>
      </w:r>
    </w:p>
    <w:p>
      <w:pPr>
        <w:pStyle w:val="BodyText"/>
      </w:pPr>
      <w:r>
        <w:t xml:space="preserve">An actual voluntary action is openly admitted as an additional, irreducible fact. Its contingency does not by itself reverse source underivation; nevertheless, a critic may argue that this particular intention adds intrinsic determination. That argument must be addressed, rather than excluded by describing the intention as a relation to its effect.</w:t>
      </w:r>
    </w:p>
    <w:bookmarkEnd w:id="233"/>
    <w:bookmarkStart w:id="234" w:name="power-of-assimilation"/>
    <w:p>
      <w:pPr>
        <w:pStyle w:val="Heading4"/>
      </w:pPr>
      <w:r>
        <w:t xml:space="preserve">Power of assimilation</w:t>
      </w:r>
    </w:p>
    <w:p>
      <w:pPr>
        <w:pStyle w:val="FirstParagraph"/>
      </w:pPr>
      <w:r>
        <w:t xml:space="preserve">Exemplar intelligibility, active rational power, live contingency, and reflexive cognition solve distinct jobs. Their assimilation is fruitful only if those jobs remain distinguishable. Scotist formal distinction, Thomistic attribute identity, and Palamite uncreated energies are not assimilated by declaring them the same ontology.</w:t>
      </w:r>
    </w:p>
    <w:p>
      <w:pPr>
        <w:pStyle w:val="BodyText"/>
      </w:pPr>
      <w:r>
        <w:t xml:space="preserve">The account can retrieve an author’s insight while declining the author’s surrounding explanation. Such a departure must be named. In particular, a irreducible action interpreted as a real relation should not be retrospectively attributed to Aquinas merely because his doctrine of relations supplies resources for non-reception.</w:t>
      </w:r>
    </w:p>
    <w:bookmarkEnd w:id="234"/>
    <w:bookmarkStart w:id="235" w:name="logical-sequence"/>
    <w:p>
      <w:pPr>
        <w:pStyle w:val="Heading4"/>
      </w:pPr>
      <w:r>
        <w:t xml:space="preserve">Logical sequence</w:t>
      </w:r>
    </w:p>
    <w:p>
      <w:pPr>
        <w:pStyle w:val="FirstParagraph"/>
      </w:pPr>
      <w:r>
        <w:t xml:space="preserve">The actual sequence is branching. Underivation plus KD yield noncomposition. Separately, a rational-volitional account motivates optional outward expression; an explicit modal extension supplies alternatives; intentional control distinguishes authorship from a spontaneous outcome. A further premise connects intention to the actual effect, and warrant connects the agent’s awareness to knowledge.</w:t>
      </w:r>
    </w:p>
    <w:p>
      <w:pPr>
        <w:pStyle w:val="BodyText"/>
      </w:pPr>
      <w:r>
        <w:t xml:space="preserve">No logical arrow establishes God’s existence, every stronger simplicity thesis, or omniscience. The sequence is intelligible precisely because its added commitments are visible.</w:t>
      </w:r>
    </w:p>
    <w:bookmarkEnd w:id="235"/>
    <w:bookmarkStart w:id="236" w:name="anticipation-of-its-future"/>
    <w:p>
      <w:pPr>
        <w:pStyle w:val="Heading4"/>
      </w:pPr>
      <w:r>
        <w:t xml:space="preserve">Anticipation of its future</w:t>
      </w:r>
    </w:p>
    <w:p>
      <w:pPr>
        <w:pStyle w:val="FirstParagraph"/>
      </w:pPr>
      <w:r>
        <w:t xml:space="preserve">Earlier texts anticipate aspects: knowing effects through the source, knowing possibilities without producing all of them, the distinction between end and optional means, and relative predication without an acquired intrinsic accident. They do not thereby anticipate this exact language or prove the combined scheme.</w:t>
      </w:r>
    </w:p>
    <w:p>
      <w:pPr>
        <w:pStyle w:val="BodyText"/>
      </w:pPr>
      <w:r>
        <w:t xml:space="preserve">An antecedent passage is evidence of continuity only within its actual scope. Historical anticipation is not a warrant to backdate a contemporary answer to modal truthmaking.</w:t>
      </w:r>
    </w:p>
    <w:bookmarkEnd w:id="236"/>
    <w:bookmarkStart w:id="237" w:name="conservative-action-upon-its-past"/>
    <w:p>
      <w:pPr>
        <w:pStyle w:val="Heading4"/>
      </w:pPr>
      <w:r>
        <w:t xml:space="preserve">Conservative action upon its past</w:t>
      </w:r>
    </w:p>
    <w:p>
      <w:pPr>
        <w:pStyle w:val="FirstParagraph"/>
      </w:pPr>
      <w:r>
        <w:t xml:space="preserve">The original participation grammar remains usable. The new page does not pretend that stronger agency results had already been contained in reception or measure. It preserves the first noncomposition theorem while revealing an alternative route under the stronger assumptions of a no-creation alternative and the same constituent profile across possible outcomes.</w:t>
      </w:r>
    </w:p>
    <w:p>
      <w:pPr>
        <w:pStyle w:val="BodyText"/>
      </w:pPr>
      <w:r>
        <w:t xml:space="preserve">It also preserves open cases rather than resolving them by stipulation. If a rival permits intrinsic intentional variation without composition, that possibility is not dismissed before the stronger simplicity premise is defended.</w:t>
      </w:r>
    </w:p>
    <w:bookmarkEnd w:id="237"/>
    <w:bookmarkStart w:id="238" w:name="chronic-vigour"/>
    <w:p>
      <w:pPr>
        <w:pStyle w:val="Heading4"/>
      </w:pPr>
      <w:r>
        <w:t xml:space="preserve">Chronic vigour</w:t>
      </w:r>
    </w:p>
    <w:p>
      <w:pPr>
        <w:pStyle w:val="FirstParagraph"/>
      </w:pPr>
      <w:r>
        <w:t xml:space="preserve">This new architecture has no demonstrated long historical endurance. Countermodel resistance and conceptual fruitfulness are provisional analogues, not the seventh note itself. A temporary lack of elementary formal contradiction is especially insufficient to show chronic vigour or metaphysical truth.</w:t>
      </w:r>
    </w:p>
    <w:bookmarkEnd w:id="238"/>
    <w:bookmarkEnd w:id="239"/>
    <w:bookmarkStart w:id="240" w:name="X7691ebf0ba49cb653522617e502675626946423"/>
    <w:p>
      <w:pPr>
        <w:pStyle w:val="Heading3"/>
      </w:pPr>
      <w:r>
        <w:t xml:space="preserve">Continuity and explanatory success are separate</w:t>
      </w:r>
    </w:p>
    <w:p>
      <w:pPr>
        <w:pStyle w:val="FirstParagraph"/>
      </w:pPr>
      <w:r>
        <w:t xml:space="preserve">A proposal can be historically continuous and still fail to explain its central fact. The proposed action must involve actual intelligent control rather than merely restate that A exists. Awareness of one’s own action must disclose the actual intention, rather than merely a capacity that remains the same across possible outcomes. The proposed primitive resources must be independently intelligible and warranted.</w:t>
      </w:r>
    </w:p>
    <w:p>
      <w:pPr>
        <w:pStyle w:val="BodyText"/>
      </w:pPr>
      <w:r>
        <w:t xml:space="preserve">Conversely, going beyond an author’s vocabulary need not be arbitrary invention. New distinctions can expose an inferential burden that older accounts treated implicitly. The present development is legitimate as a candidate inquiry insofar as it preserves the inherited constraints, proceeds by explicit additions, and remains answerable to rival explanations.</w:t>
      </w:r>
    </w:p>
    <w:bookmarkEnd w:id="240"/>
    <w:bookmarkStart w:id="241" w:name="verdict"/>
    <w:p>
      <w:pPr>
        <w:pStyle w:val="Heading3"/>
      </w:pPr>
      <w:r>
        <w:t xml:space="preserve">Verdict</w:t>
      </w:r>
    </w:p>
    <w:p>
      <w:pPr>
        <w:pStyle w:val="FirstParagraph"/>
      </w:pPr>
      <w:r>
        <w:t xml:space="preserve">This is a provisional candidate development of an explanatory grammar. It has not established full classical simplicity, a complete modal-collapse solution, or a theory of every contingent divine cognitive fact. Its positive achievement is to isolate the agency and epistemic resources a source-first account requires and test their separability in disclosed sparse models. If those resources cannot be defended without compromising the conserved principles, the development must revise or reject them rather than declare the problem solved.</w:t>
      </w:r>
    </w:p>
    <w:bookmarkEnd w:id="241"/>
    <w:bookmarkEnd w:id="242"/>
    <w:p>
      <w:pPr>
        <w:pStyle w:val="Heading1"/>
      </w:pPr>
      <w:r>
        <w:t xml:space="preserve">Appendix E — reading-guide.md</w:t>
      </w:r>
    </w:p>
    <w:p>
      <w:pPr>
        <w:pStyle w:val="FirstParagraph"/>
      </w:pPr>
      <w:r>
        <w:t xml:space="preserve">Original research file: https:/​/​participation-​6o4.​pages.​dev/​research/​reading-​guide.​md</w:t>
      </w:r>
    </w:p>
    <w:bookmarkStart w:id="250" w:name="X76bbf5d6b7569961a0062f67039635a63138a29"/>
    <w:p>
      <w:pPr>
        <w:pStyle w:val="Heading2"/>
      </w:pPr>
      <w:r>
        <w:t xml:space="preserve">Reading the three investigations together</w:t>
      </w:r>
    </w:p>
    <w:p>
      <w:pPr>
        <w:pStyle w:val="FirstParagraph"/>
      </w:pPr>
      <w:r>
        <w:t xml:space="preserve">Revision: October 14, 2026.</w:t>
      </w:r>
    </w:p>
    <w:p>
      <w:pPr>
        <w:pStyle w:val="BodyText"/>
      </w:pPr>
      <w:r>
        <w:t xml:space="preserve">The three pages investigate a single problem in stages. How can created actuality come from God and genuinely belong to the creature? What further principles would establish simplicity, free creation, and non-receptive knowledge? How could that freedom have determinate intentional content while sustaining real creaturely action and fulfillment?</w:t>
      </w:r>
    </w:p>
    <w:p>
      <w:pPr>
        <w:pStyle w:val="BodyText"/>
      </w:pPr>
      <w:r>
        <w:t xml:space="preserve">The revision draws on the supplied</w:t>
      </w:r>
      <w:r>
        <w:t xml:space="preserve"> </w:t>
      </w:r>
      <w:r>
        <w:rPr>
          <w:i/>
          <w:iCs/>
        </w:rPr>
        <w:t xml:space="preserve">Being-First and Measured Manifestation: Definitive Synthetic Edition</w:t>
      </w:r>
      <w:r>
        <w:t xml:space="preserve"> </w:t>
      </w:r>
      <w:r>
        <w:t xml:space="preserve">and</w:t>
      </w:r>
      <w:r>
        <w:t xml:space="preserve"> </w:t>
      </w:r>
      <w:r>
        <w:rPr>
          <w:i/>
          <w:iCs/>
        </w:rPr>
        <w:t xml:space="preserve">Working Philosophical Toolkit: Final</w:t>
      </w:r>
      <w:r>
        <w:t xml:space="preserve">. These are constructive source manuscripts for this project. Using them does not convert their proposals into historical testimony or independently established metaphysical theorems. The existing source ledgers retain their consultation and edition qualifications.</w:t>
      </w:r>
    </w:p>
    <w:bookmarkStart w:id="243" w:name="five-recurring-questions"/>
    <w:p>
      <w:pPr>
        <w:pStyle w:val="Heading3"/>
      </w:pPr>
      <w:r>
        <w:t xml:space="preserve">Five recurring questions</w:t>
      </w:r>
    </w:p>
    <w:p>
      <w:pPr>
        <w:pStyle w:val="Compact"/>
        <w:numPr>
          <w:ilvl w:val="0"/>
          <w:numId w:val="1009"/>
        </w:numPr>
      </w:pPr>
      <w:r>
        <w:rPr>
          <w:b/>
          <w:bCs/>
        </w:rPr>
        <w:t xml:space="preserve">Reality:</w:t>
      </w:r>
      <w:r>
        <w:t xml:space="preserve"> </w:t>
      </w:r>
      <w:r>
        <w:t xml:space="preserve">What differs, what realizes that difference, and what makes the subject one?</w:t>
      </w:r>
    </w:p>
    <w:p>
      <w:pPr>
        <w:pStyle w:val="Compact"/>
        <w:numPr>
          <w:ilvl w:val="0"/>
          <w:numId w:val="1009"/>
        </w:numPr>
      </w:pPr>
      <w:r>
        <w:rPr>
          <w:b/>
          <w:bCs/>
        </w:rPr>
        <w:t xml:space="preserve">Explanation:</w:t>
      </w:r>
      <w:r>
        <w:t xml:space="preserve"> </w:t>
      </w:r>
      <w:r>
        <w:t xml:space="preserve">What explains what, through which relation and in which respect?</w:t>
      </w:r>
    </w:p>
    <w:p>
      <w:pPr>
        <w:pStyle w:val="Compact"/>
        <w:numPr>
          <w:ilvl w:val="0"/>
          <w:numId w:val="1009"/>
        </w:numPr>
      </w:pPr>
      <w:r>
        <w:rPr>
          <w:b/>
          <w:bCs/>
        </w:rPr>
        <w:t xml:space="preserve">Possibility and agency:</w:t>
      </w:r>
      <w:r>
        <w:t xml:space="preserve"> </w:t>
      </w:r>
      <w:r>
        <w:t xml:space="preserve">What could genuinely differ, what makes alternatives fitting, and who directs the actual action?</w:t>
      </w:r>
    </w:p>
    <w:p>
      <w:pPr>
        <w:pStyle w:val="Compact"/>
        <w:numPr>
          <w:ilvl w:val="0"/>
          <w:numId w:val="1009"/>
        </w:numPr>
      </w:pPr>
      <w:r>
        <w:rPr>
          <w:b/>
          <w:bCs/>
        </w:rPr>
        <w:t xml:space="preserve">Disclosure:</w:t>
      </w:r>
      <w:r>
        <w:t xml:space="preserve"> </w:t>
      </w:r>
      <w:r>
        <w:t xml:space="preserve">What is expressed, what warrants knowledge of it, and how far does that warrant extend?</w:t>
      </w:r>
    </w:p>
    <w:p>
      <w:pPr>
        <w:pStyle w:val="Compact"/>
        <w:numPr>
          <w:ilvl w:val="0"/>
          <w:numId w:val="1009"/>
        </w:numPr>
      </w:pPr>
      <w:r>
        <w:rPr>
          <w:b/>
          <w:bCs/>
        </w:rPr>
        <w:t xml:space="preserve">Fulfillment:</w:t>
      </w:r>
      <w:r>
        <w:t xml:space="preserve"> </w:t>
      </w:r>
      <w:r>
        <w:t xml:space="preserve">What good is appropriate to the subject, what impedes it, and what would perfect it?</w:t>
      </w:r>
    </w:p>
    <w:p>
      <w:pPr>
        <w:pStyle w:val="FirstParagraph"/>
      </w:pPr>
      <w:r>
        <w:t xml:space="preserve">These are useful analytical jobs, not five demonstrated ontological primitives. The five families of symbols in Part I have a different purpose: they retain information needed by one conditional formal reconstruction. Sharing the number five establishes no identity between the toolkit and that model.</w:t>
      </w:r>
    </w:p>
    <w:p>
      <w:pPr>
        <w:pStyle w:val="BodyText"/>
      </w:pPr>
      <w:r>
        <w:t xml:space="preserve">Keep the relation, respect, modal force, and warrant explicit. Causation, constitution, dependence, truthmaking, cognitive access, and intentional direction are different explanatory relations unless an argument establishes their reduction.</w:t>
      </w:r>
    </w:p>
    <w:bookmarkEnd w:id="243"/>
    <w:bookmarkStart w:id="244" w:name="participation-connects-the-questions"/>
    <w:p>
      <w:pPr>
        <w:pStyle w:val="Heading3"/>
      </w:pPr>
      <w:r>
        <w:t xml:space="preserve">Participation connects the questions</w:t>
      </w:r>
    </w:p>
    <w:p>
      <w:pPr>
        <w:pStyle w:val="FirstParagraph"/>
      </w:pPr>
      <w:r>
        <w:t xml:space="preserve">Participation is real, dependent possession of received actuality or perfection according to the participant’s mode. Identify the recipient, what it possesses, its source, its mode, and the dependence. Receiving actuality does not turn the recipient into an appearance. Genuine possession does not make it independent.</w:t>
      </w:r>
    </w:p>
    <w:p>
      <w:pPr>
        <w:pStyle w:val="BodyText"/>
      </w:pPr>
      <w:r>
        <w:t xml:space="preserve">Expression, agency, and finality require additional bridges. A received power can remain unexercised. An actual likeness can remain unrecognized. A subject’s origin does not by itself establish its fitting end. The added principles explain how participation can become productive action, warranted disclosure, and fulfillment without building those conclusions into its definition.</w:t>
      </w:r>
    </w:p>
    <w:bookmarkEnd w:id="244"/>
    <w:bookmarkStart w:id="245" w:name="the-major-passages-and-their-burdens"/>
    <w:p>
      <w:pPr>
        <w:pStyle w:val="Heading3"/>
      </w:pPr>
      <w:r>
        <w:t xml:space="preserve">The major passages and their burdens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Passage</w:t>
            </w:r>
          </w:p>
        </w:tc>
        <w:tc>
          <w:tcPr>
            <w:tcW w:type="dxa" w:w="2749"/>
            <w:shd w:fill="EAE5DA"/>
          </w:tcPr>
          <w:p>
            <w:pPr>
              <w:pStyle w:val="BodyText"/>
              <w:keepNext w:val="0"/>
              <w:spacing w:after="80" w:line="252" w:lineRule="auto"/>
              <w:jc w:val="left"/>
            </w:pPr>
            <w:r>
              <w:rPr>
                <w:rFonts w:ascii="Calibri" w:hAnsi="Calibri"/>
                <w:b/>
                <w:sz w:val="17"/>
              </w:rPr>
              <w:t xml:space="preserve">Positive explanation</w:t>
            </w:r>
          </w:p>
        </w:tc>
        <w:tc>
          <w:tcPr>
            <w:tcW w:type="dxa" w:w="2749"/>
            <w:shd w:fill="EAE5DA"/>
          </w:tcPr>
          <w:p>
            <w:pPr>
              <w:pStyle w:val="BodyText"/>
              <w:keepNext w:val="0"/>
              <w:spacing w:after="80" w:line="252" w:lineRule="auto"/>
              <w:jc w:val="left"/>
            </w:pPr>
            <w:r>
              <w:rPr>
                <w:rFonts w:ascii="Calibri" w:hAnsi="Calibri"/>
                <w:b/>
                <w:sz w:val="17"/>
              </w:rPr>
              <w:t xml:space="preserve">Indispensable addition</w:t>
            </w:r>
          </w:p>
        </w:tc>
        <w:tc>
          <w:tcPr>
            <w:tcW w:type="dxa" w:w="2749"/>
            <w:shd w:fill="EAE5DA"/>
          </w:tcPr>
          <w:p>
            <w:pPr>
              <w:pStyle w:val="BodyText"/>
              <w:keepNext w:val="0"/>
              <w:spacing w:after="80" w:line="252" w:lineRule="auto"/>
              <w:jc w:val="left"/>
            </w:pPr>
            <w:r>
              <w:rPr>
                <w:rFonts w:ascii="Calibri" w:hAnsi="Calibri"/>
                <w:b/>
                <w:sz w:val="17"/>
              </w:rPr>
              <w:t xml:space="preserve">Strong rival or remaining burden</w:t>
            </w:r>
          </w:p>
        </w:tc>
      </w:tr>
      <w:tr>
        <w:tc>
          <w:tcPr>
            <w:tcW w:type="dxa" w:w="1689"/>
          </w:tcPr>
          <w:p>
            <w:pPr>
              <w:pStyle w:val="BodyText"/>
              <w:keepNext w:val="0"/>
              <w:spacing w:after="80" w:line="252" w:lineRule="auto"/>
              <w:jc w:val="left"/>
            </w:pPr>
            <w:r>
              <w:rPr>
                <w:rFonts w:ascii="Calibri" w:hAnsi="Calibri"/>
                <w:sz w:val="17"/>
              </w:rPr>
              <w:t xml:space="preserve">Received actuality → creaturely possession</w:t>
            </w:r>
          </w:p>
        </w:tc>
        <w:tc>
          <w:tcPr>
            <w:tcW w:type="dxa" w:w="2749"/>
          </w:tcPr>
          <w:p>
            <w:pPr>
              <w:pStyle w:val="BodyText"/>
              <w:keepNext w:val="0"/>
              <w:spacing w:after="80" w:line="252" w:lineRule="auto"/>
              <w:jc w:val="left"/>
            </w:pPr>
            <w:r>
              <w:rPr>
                <w:rFonts w:ascii="Calibri" w:hAnsi="Calibri"/>
                <w:sz w:val="17"/>
              </w:rPr>
              <w:t xml:space="preserve">The perfection is actual in the recipient; dependence concerns its source.</w:t>
            </w:r>
          </w:p>
        </w:tc>
        <w:tc>
          <w:tcPr>
            <w:tcW w:type="dxa" w:w="2749"/>
          </w:tcPr>
          <w:p>
            <w:pPr>
              <w:pStyle w:val="BodyText"/>
              <w:keepNext w:val="0"/>
              <w:spacing w:after="80" w:line="252" w:lineRule="auto"/>
              <w:jc w:val="left"/>
            </w:pPr>
            <w:r>
              <w:rPr>
                <w:rFonts w:ascii="Calibri" w:hAnsi="Calibri"/>
                <w:sz w:val="17"/>
              </w:rPr>
              <w:t xml:space="preserve">A realist account of realization and the stated causal-dependence bridge.</w:t>
            </w:r>
          </w:p>
        </w:tc>
        <w:tc>
          <w:tcPr>
            <w:tcW w:type="dxa" w:w="2749"/>
          </w:tcPr>
          <w:p>
            <w:pPr>
              <w:pStyle w:val="BodyText"/>
              <w:keepNext w:val="0"/>
              <w:spacing w:after="80" w:line="252" w:lineRule="auto"/>
              <w:jc w:val="left"/>
            </w:pPr>
            <w:r>
              <w:rPr>
                <w:rFonts w:ascii="Calibri" w:hAnsi="Calibri"/>
                <w:sz w:val="17"/>
              </w:rPr>
              <w:t xml:space="preserve">An ontology in which creatures are merely appearances rather than distinct bearers.</w:t>
            </w:r>
          </w:p>
        </w:tc>
      </w:tr>
      <w:tr>
        <w:tc>
          <w:tcPr>
            <w:tcW w:type="dxa" w:w="1689"/>
          </w:tcPr>
          <w:p>
            <w:pPr>
              <w:pStyle w:val="BodyText"/>
              <w:keepNext w:val="0"/>
              <w:spacing w:after="80" w:line="252" w:lineRule="auto"/>
              <w:jc w:val="left"/>
            </w:pPr>
            <w:r>
              <w:rPr>
                <w:rFonts w:ascii="Calibri" w:hAnsi="Calibri"/>
                <w:sz w:val="17"/>
              </w:rPr>
              <w:t xml:space="preserve">Causation → expressive likeness</w:t>
            </w:r>
          </w:p>
        </w:tc>
        <w:tc>
          <w:tcPr>
            <w:tcW w:type="dxa" w:w="2749"/>
          </w:tcPr>
          <w:p>
            <w:pPr>
              <w:pStyle w:val="BodyText"/>
              <w:keepNext w:val="0"/>
              <w:spacing w:after="80" w:line="252" w:lineRule="auto"/>
              <w:jc w:val="left"/>
            </w:pPr>
            <w:r>
              <w:rPr>
                <w:rFonts w:ascii="Calibri" w:hAnsi="Calibri"/>
                <w:sz w:val="17"/>
              </w:rPr>
              <w:t xml:space="preserve">The effect’s intelligible formation corresponds to positive content in its ultimate source.</w:t>
            </w:r>
          </w:p>
        </w:tc>
        <w:tc>
          <w:tcPr>
            <w:tcW w:type="dxa" w:w="2749"/>
          </w:tcPr>
          <w:p>
            <w:pPr>
              <w:pStyle w:val="BodyText"/>
              <w:keepNext w:val="0"/>
              <w:spacing w:after="80" w:line="252" w:lineRule="auto"/>
              <w:jc w:val="left"/>
            </w:pPr>
            <w:r>
              <w:rPr>
                <w:rFonts w:ascii="Calibri" w:hAnsi="Calibri"/>
                <w:sz w:val="17"/>
              </w:rPr>
              <w:t xml:space="preserve">Causal adequacy for independently identified perfection-content; exemplarism offers a richer account.</w:t>
            </w:r>
          </w:p>
        </w:tc>
        <w:tc>
          <w:tcPr>
            <w:tcW w:type="dxa" w:w="2749"/>
          </w:tcPr>
          <w:p>
            <w:pPr>
              <w:pStyle w:val="BodyText"/>
              <w:keepNext w:val="0"/>
              <w:spacing w:after="80" w:line="252" w:lineRule="auto"/>
              <w:jc w:val="left"/>
            </w:pPr>
            <w:r>
              <w:rPr>
                <w:rFonts w:ascii="Calibri" w:hAnsi="Calibri"/>
                <w:sz w:val="17"/>
              </w:rPr>
              <w:t xml:space="preserve">A productive source that causes cognition without intrinsically understanding.</w:t>
            </w:r>
          </w:p>
        </w:tc>
      </w:tr>
      <w:tr>
        <w:tc>
          <w:tcPr>
            <w:tcW w:type="dxa" w:w="1689"/>
          </w:tcPr>
          <w:p>
            <w:pPr>
              <w:pStyle w:val="BodyText"/>
              <w:keepNext w:val="0"/>
              <w:spacing w:after="80" w:line="252" w:lineRule="auto"/>
              <w:jc w:val="left"/>
            </w:pPr>
            <w:r>
              <w:rPr>
                <w:rFonts w:ascii="Calibri" w:hAnsi="Calibri"/>
                <w:sz w:val="17"/>
              </w:rPr>
              <w:t xml:space="preserve">Underivation → noncomposition</w:t>
            </w:r>
          </w:p>
        </w:tc>
        <w:tc>
          <w:tcPr>
            <w:tcW w:type="dxa" w:w="2749"/>
          </w:tcPr>
          <w:p>
            <w:pPr>
              <w:pStyle w:val="BodyText"/>
              <w:keepNext w:val="0"/>
              <w:spacing w:after="80" w:line="252" w:lineRule="auto"/>
              <w:jc w:val="left"/>
            </w:pPr>
            <w:r>
              <w:rPr>
                <w:rFonts w:ascii="Calibri" w:hAnsi="Calibri"/>
                <w:sz w:val="17"/>
              </w:rPr>
              <w:t xml:space="preserve">A whole cannot be absolutely underived if its constituents explain the actuality of that whole.</w:t>
            </w:r>
          </w:p>
        </w:tc>
        <w:tc>
          <w:tcPr>
            <w:tcW w:type="dxa" w:w="2749"/>
          </w:tcPr>
          <w:p>
            <w:pPr>
              <w:pStyle w:val="BodyText"/>
              <w:keepNext w:val="0"/>
              <w:spacing w:after="80" w:line="252" w:lineRule="auto"/>
              <w:jc w:val="left"/>
            </w:pPr>
            <w:r>
              <w:rPr>
                <w:rFonts w:ascii="Calibri" w:hAnsi="Calibri"/>
                <w:sz w:val="17"/>
              </w:rPr>
              <w:t xml:space="preserve">The independently interpreted constitution–dependence principle.</w:t>
            </w:r>
          </w:p>
        </w:tc>
        <w:tc>
          <w:tcPr>
            <w:tcW w:type="dxa" w:w="2749"/>
          </w:tcPr>
          <w:p>
            <w:pPr>
              <w:pStyle w:val="BodyText"/>
              <w:keepNext w:val="0"/>
              <w:spacing w:after="80" w:line="252" w:lineRule="auto"/>
              <w:jc w:val="left"/>
            </w:pPr>
            <w:r>
              <w:rPr>
                <w:rFonts w:ascii="Calibri" w:hAnsi="Calibri"/>
                <w:sz w:val="17"/>
              </w:rPr>
              <w:t xml:space="preserve">Brute composite unity, or a whole-priority ontology denying that proper constituents ground the whole’s actuality.</w:t>
            </w:r>
          </w:p>
        </w:tc>
      </w:tr>
      <w:tr>
        <w:tc>
          <w:tcPr>
            <w:tcW w:type="dxa" w:w="1689"/>
          </w:tcPr>
          <w:p>
            <w:pPr>
              <w:pStyle w:val="BodyText"/>
              <w:keepNext w:val="0"/>
              <w:spacing w:after="80" w:line="252" w:lineRule="auto"/>
              <w:jc w:val="left"/>
            </w:pPr>
            <w:r>
              <w:rPr>
                <w:rFonts w:ascii="Calibri" w:hAnsi="Calibri"/>
                <w:sz w:val="17"/>
              </w:rPr>
              <w:t xml:space="preserve">Negative simplicity exclusions → positive plenitude</w:t>
            </w:r>
          </w:p>
        </w:tc>
        <w:tc>
          <w:tcPr>
            <w:tcW w:type="dxa" w:w="2749"/>
          </w:tcPr>
          <w:p>
            <w:pPr>
              <w:pStyle w:val="BodyText"/>
              <w:keepNext w:val="0"/>
              <w:spacing w:after="80" w:line="252" w:lineRule="auto"/>
              <w:jc w:val="left"/>
            </w:pPr>
            <w:r>
              <w:rPr>
                <w:rFonts w:ascii="Calibri" w:hAnsi="Calibri"/>
                <w:sz w:val="17"/>
              </w:rPr>
              <w:t xml:space="preserve">An independently warranted perfection belongs without reception from a more basic actualizer.</w:t>
            </w:r>
          </w:p>
        </w:tc>
        <w:tc>
          <w:tcPr>
            <w:tcW w:type="dxa" w:w="2749"/>
          </w:tcPr>
          <w:p>
            <w:pPr>
              <w:pStyle w:val="BodyText"/>
              <w:keepNext w:val="0"/>
              <w:spacing w:after="80" w:line="252" w:lineRule="auto"/>
              <w:jc w:val="left"/>
            </w:pPr>
            <w:r>
              <w:rPr>
                <w:rFonts w:ascii="Calibri" w:hAnsi="Calibri"/>
                <w:sz w:val="17"/>
              </w:rPr>
              <w:t xml:space="preserve">Arguments establishing the positive perfections themselves.</w:t>
            </w:r>
          </w:p>
        </w:tc>
        <w:tc>
          <w:tcPr>
            <w:tcW w:type="dxa" w:w="2749"/>
          </w:tcPr>
          <w:p>
            <w:pPr>
              <w:pStyle w:val="BodyText"/>
              <w:keepNext w:val="0"/>
              <w:spacing w:after="80" w:line="252" w:lineRule="auto"/>
              <w:jc w:val="left"/>
            </w:pPr>
            <w:r>
              <w:rPr>
                <w:rFonts w:ascii="Calibri" w:hAnsi="Calibri"/>
                <w:sz w:val="17"/>
              </w:rPr>
              <w:t xml:space="preserve">A noncomposite but insufficiently characterized source.</w:t>
            </w:r>
          </w:p>
        </w:tc>
      </w:tr>
      <w:tr>
        <w:tc>
          <w:tcPr>
            <w:tcW w:type="dxa" w:w="1689"/>
          </w:tcPr>
          <w:p>
            <w:pPr>
              <w:pStyle w:val="BodyText"/>
              <w:keepNext w:val="0"/>
              <w:spacing w:after="80" w:line="252" w:lineRule="auto"/>
              <w:jc w:val="left"/>
            </w:pPr>
            <w:r>
              <w:rPr>
                <w:rFonts w:ascii="Calibri" w:hAnsi="Calibri"/>
                <w:sz w:val="17"/>
              </w:rPr>
              <w:t xml:space="preserve">Non-exhaustion → free creation</w:t>
            </w:r>
          </w:p>
        </w:tc>
        <w:tc>
          <w:tcPr>
            <w:tcW w:type="dxa" w:w="2749"/>
          </w:tcPr>
          <w:p>
            <w:pPr>
              <w:pStyle w:val="BodyText"/>
              <w:keepNext w:val="0"/>
              <w:spacing w:after="80" w:line="252" w:lineRule="auto"/>
              <w:jc w:val="left"/>
            </w:pPr>
            <w:r>
              <w:rPr>
                <w:rFonts w:ascii="Calibri" w:hAnsi="Calibri"/>
                <w:sz w:val="17"/>
              </w:rPr>
              <w:t xml:space="preserve">Complete goodness can be expressed without being repaired or completed by expression.</w:t>
            </w:r>
          </w:p>
        </w:tc>
        <w:tc>
          <w:tcPr>
            <w:tcW w:type="dxa" w:w="2749"/>
          </w:tcPr>
          <w:p>
            <w:pPr>
              <w:pStyle w:val="BodyText"/>
              <w:keepNext w:val="0"/>
              <w:spacing w:after="80" w:line="252" w:lineRule="auto"/>
              <w:jc w:val="left"/>
            </w:pPr>
            <w:r>
              <w:rPr>
                <w:rFonts w:ascii="Calibri" w:hAnsi="Calibri"/>
                <w:sz w:val="17"/>
              </w:rPr>
              <w:t xml:space="preserve">Genuine alternatives, rational agency, and voluntary control.</w:t>
            </w:r>
          </w:p>
        </w:tc>
        <w:tc>
          <w:tcPr>
            <w:tcW w:type="dxa" w:w="2749"/>
          </w:tcPr>
          <w:p>
            <w:pPr>
              <w:pStyle w:val="BodyText"/>
              <w:keepNext w:val="0"/>
              <w:spacing w:after="80" w:line="252" w:lineRule="auto"/>
              <w:jc w:val="left"/>
            </w:pPr>
            <w:r>
              <w:rPr>
                <w:rFonts w:ascii="Calibri" w:hAnsi="Calibri"/>
                <w:sz w:val="17"/>
              </w:rPr>
              <w:t xml:space="preserve">An inexhaustible source that necessarily produces one finite world.</w:t>
            </w:r>
          </w:p>
        </w:tc>
      </w:tr>
      <w:tr>
        <w:tc>
          <w:tcPr>
            <w:tcW w:type="dxa" w:w="1689"/>
          </w:tcPr>
          <w:p>
            <w:pPr>
              <w:pStyle w:val="BodyText"/>
              <w:keepNext w:val="0"/>
              <w:spacing w:after="80" w:line="252" w:lineRule="auto"/>
              <w:jc w:val="left"/>
            </w:pPr>
            <w:r>
              <w:rPr>
                <w:rFonts w:ascii="Calibri" w:hAnsi="Calibri"/>
                <w:sz w:val="17"/>
              </w:rPr>
              <w:t xml:space="preserve">Invariant intrinsic actuality → determinate intention</w:t>
            </w:r>
          </w:p>
        </w:tc>
        <w:tc>
          <w:tcPr>
            <w:tcW w:type="dxa" w:w="2749"/>
          </w:tcPr>
          <w:p>
            <w:pPr>
              <w:pStyle w:val="BodyText"/>
              <w:keepNext w:val="0"/>
              <w:spacing w:after="80" w:line="252" w:lineRule="auto"/>
              <w:jc w:val="left"/>
            </w:pPr>
            <w:r>
              <w:rPr>
                <w:rFonts w:ascii="Calibri" w:hAnsi="Calibri"/>
                <w:sz w:val="17"/>
              </w:rPr>
              <w:t xml:space="preserve">The proposed difference belongs to the complete intentional action toward understood content.</w:t>
            </w:r>
          </w:p>
        </w:tc>
        <w:tc>
          <w:tcPr>
            <w:tcW w:type="dxa" w:w="2749"/>
          </w:tcPr>
          <w:p>
            <w:pPr>
              <w:pStyle w:val="BodyText"/>
              <w:keepNext w:val="0"/>
              <w:spacing w:after="80" w:line="252" w:lineRule="auto"/>
              <w:jc w:val="left"/>
            </w:pPr>
            <w:r>
              <w:rPr>
                <w:rFonts w:ascii="Calibri" w:hAnsi="Calibri"/>
                <w:sz w:val="17"/>
              </w:rPr>
              <w:t xml:space="preserve">A defended relational ontology of actual intentional direction.</w:t>
            </w:r>
          </w:p>
        </w:tc>
        <w:tc>
          <w:tcPr>
            <w:tcW w:type="dxa" w:w="2749"/>
          </w:tcPr>
          <w:p>
            <w:pPr>
              <w:pStyle w:val="BodyText"/>
              <w:keepNext w:val="0"/>
              <w:spacing w:after="80" w:line="252" w:lineRule="auto"/>
              <w:jc w:val="left"/>
            </w:pPr>
            <w:r>
              <w:rPr>
                <w:rFonts w:ascii="Calibri" w:hAnsi="Calibri"/>
                <w:sz w:val="17"/>
              </w:rPr>
              <w:t xml:space="preserve">Different intrinsic intentions across alternatives without parts or temporal acquisition.</w:t>
            </w:r>
          </w:p>
        </w:tc>
      </w:tr>
      <w:tr>
        <w:tc>
          <w:tcPr>
            <w:tcW w:type="dxa" w:w="1689"/>
          </w:tcPr>
          <w:p>
            <w:pPr>
              <w:pStyle w:val="BodyText"/>
              <w:keepNext w:val="0"/>
              <w:spacing w:after="80" w:line="252" w:lineRule="auto"/>
              <w:jc w:val="left"/>
            </w:pPr>
            <w:r>
              <w:rPr>
                <w:rFonts w:ascii="Calibri" w:hAnsi="Calibri"/>
                <w:sz w:val="17"/>
              </w:rPr>
              <w:t xml:space="preserve">Intelligent production → knowledge of its effect</w:t>
            </w:r>
          </w:p>
        </w:tc>
        <w:tc>
          <w:tcPr>
            <w:tcW w:type="dxa" w:w="2749"/>
          </w:tcPr>
          <w:p>
            <w:pPr>
              <w:pStyle w:val="BodyText"/>
              <w:keepNext w:val="0"/>
              <w:spacing w:after="80" w:line="252" w:lineRule="auto"/>
              <w:jc w:val="left"/>
            </w:pPr>
            <w:r>
              <w:rPr>
                <w:rFonts w:ascii="Calibri" w:hAnsi="Calibri"/>
                <w:sz w:val="17"/>
              </w:rPr>
              <w:t xml:space="preserve">Awareness of actual execution and its assured efficacy discloses what that execution produces.</w:t>
            </w:r>
          </w:p>
        </w:tc>
        <w:tc>
          <w:tcPr>
            <w:tcW w:type="dxa" w:w="2749"/>
          </w:tcPr>
          <w:p>
            <w:pPr>
              <w:pStyle w:val="BodyText"/>
              <w:keepNext w:val="0"/>
              <w:spacing w:after="80" w:line="252" w:lineRule="auto"/>
              <w:jc w:val="left"/>
            </w:pPr>
            <w:r>
              <w:rPr>
                <w:rFonts w:ascii="Calibri" w:hAnsi="Calibri"/>
                <w:sz w:val="17"/>
              </w:rPr>
              <w:t xml:space="preserve">Adequate, warranted, non-receptive awareness of the actual action.</w:t>
            </w:r>
          </w:p>
        </w:tc>
        <w:tc>
          <w:tcPr>
            <w:tcW w:type="dxa" w:w="2749"/>
          </w:tcPr>
          <w:p>
            <w:pPr>
              <w:pStyle w:val="BodyText"/>
              <w:keepNext w:val="0"/>
              <w:spacing w:after="80" w:line="252" w:lineRule="auto"/>
              <w:jc w:val="left"/>
            </w:pPr>
            <w:r>
              <w:rPr>
                <w:rFonts w:ascii="Calibri" w:hAnsi="Calibri"/>
                <w:sz w:val="17"/>
              </w:rPr>
              <w:t xml:space="preserve">Knowing every possible plan without knowing which action actually occurs.</w:t>
            </w:r>
          </w:p>
        </w:tc>
      </w:tr>
      <w:tr>
        <w:tc>
          <w:tcPr>
            <w:tcW w:type="dxa" w:w="1689"/>
          </w:tcPr>
          <w:p>
            <w:pPr>
              <w:pStyle w:val="BodyText"/>
              <w:keepNext w:val="0"/>
              <w:spacing w:after="80" w:line="252" w:lineRule="auto"/>
              <w:jc w:val="left"/>
            </w:pPr>
            <w:r>
              <w:rPr>
                <w:rFonts w:ascii="Calibri" w:hAnsi="Calibri"/>
                <w:sz w:val="17"/>
              </w:rPr>
              <w:t xml:space="preserve">Sustained power → secondary agency</w:t>
            </w:r>
          </w:p>
        </w:tc>
        <w:tc>
          <w:tcPr>
            <w:tcW w:type="dxa" w:w="2749"/>
          </w:tcPr>
          <w:p>
            <w:pPr>
              <w:pStyle w:val="BodyText"/>
              <w:keepNext w:val="0"/>
              <w:spacing w:after="80" w:line="252" w:lineRule="auto"/>
              <w:jc w:val="left"/>
            </w:pPr>
            <w:r>
              <w:rPr>
                <w:rFonts w:ascii="Calibri" w:hAnsi="Calibri"/>
                <w:sz w:val="17"/>
              </w:rPr>
              <w:t xml:space="preserve">A creature exercises a productive power that remains dependent on its source.</w:t>
            </w:r>
          </w:p>
        </w:tc>
        <w:tc>
          <w:tcPr>
            <w:tcW w:type="dxa" w:w="2749"/>
          </w:tcPr>
          <w:p>
            <w:pPr>
              <w:pStyle w:val="BodyText"/>
              <w:keepNext w:val="0"/>
              <w:spacing w:after="80" w:line="252" w:lineRule="auto"/>
              <w:jc w:val="left"/>
            </w:pPr>
            <w:r>
              <w:rPr>
                <w:rFonts w:ascii="Calibri" w:hAnsi="Calibri"/>
                <w:sz w:val="17"/>
              </w:rPr>
              <w:t xml:space="preserve">The efficacy and authorship of the creature’s own exercise.</w:t>
            </w:r>
          </w:p>
        </w:tc>
        <w:tc>
          <w:tcPr>
            <w:tcW w:type="dxa" w:w="2749"/>
          </w:tcPr>
          <w:p>
            <w:pPr>
              <w:pStyle w:val="BodyText"/>
              <w:keepNext w:val="0"/>
              <w:spacing w:after="80" w:line="252" w:lineRule="auto"/>
              <w:jc w:val="left"/>
            </w:pPr>
            <w:r>
              <w:rPr>
                <w:rFonts w:ascii="Calibri" w:hAnsi="Calibri"/>
                <w:sz w:val="17"/>
              </w:rPr>
              <w:t xml:space="preserve">Occasionalism: divine support replaces creaturely production.</w:t>
            </w:r>
          </w:p>
        </w:tc>
      </w:tr>
      <w:tr>
        <w:tc>
          <w:tcPr>
            <w:tcW w:type="dxa" w:w="1689"/>
          </w:tcPr>
          <w:p>
            <w:pPr>
              <w:pStyle w:val="BodyText"/>
              <w:keepNext w:val="0"/>
              <w:spacing w:after="80" w:line="252" w:lineRule="auto"/>
              <w:jc w:val="left"/>
            </w:pPr>
            <w:r>
              <w:rPr>
                <w:rFonts w:ascii="Calibri" w:hAnsi="Calibri"/>
                <w:sz w:val="17"/>
              </w:rPr>
              <w:t xml:space="preserve">Causal presence → knowledge of permitted choices</w:t>
            </w:r>
          </w:p>
        </w:tc>
        <w:tc>
          <w:tcPr>
            <w:tcW w:type="dxa" w:w="2749"/>
          </w:tcPr>
          <w:p>
            <w:pPr>
              <w:pStyle w:val="BodyText"/>
              <w:keepNext w:val="0"/>
              <w:spacing w:after="80" w:line="252" w:lineRule="auto"/>
              <w:jc w:val="left"/>
            </w:pPr>
            <w:r>
              <w:rPr>
                <w:rFonts w:ascii="Calibri" w:hAnsi="Calibri"/>
                <w:sz w:val="17"/>
              </w:rPr>
              <w:t xml:space="preserve">The proposed source has cognitive access to the choice as actually exercised.</w:t>
            </w:r>
          </w:p>
        </w:tc>
        <w:tc>
          <w:tcPr>
            <w:tcW w:type="dxa" w:w="2749"/>
          </w:tcPr>
          <w:p>
            <w:pPr>
              <w:pStyle w:val="BodyText"/>
              <w:keepNext w:val="0"/>
              <w:spacing w:after="80" w:line="252" w:lineRule="auto"/>
              <w:jc w:val="left"/>
            </w:pPr>
            <w:r>
              <w:rPr>
                <w:rFonts w:ascii="Calibri" w:hAnsi="Calibri"/>
                <w:sz w:val="17"/>
              </w:rPr>
              <w:t xml:space="preserve">A positive account of non-receptive cognitive access; foreknowledge requires a further account of eternity or another defended basis.</w:t>
            </w:r>
          </w:p>
        </w:tc>
        <w:tc>
          <w:tcPr>
            <w:tcW w:type="dxa" w:w="2749"/>
          </w:tcPr>
          <w:p>
            <w:pPr>
              <w:pStyle w:val="BodyText"/>
              <w:keepNext w:val="0"/>
              <w:spacing w:after="80" w:line="252" w:lineRule="auto"/>
              <w:jc w:val="left"/>
            </w:pPr>
            <w:r>
              <w:rPr>
                <w:rFonts w:ascii="Calibri" w:hAnsi="Calibri"/>
                <w:sz w:val="17"/>
              </w:rPr>
              <w:t xml:space="preserve">Causal support without cognitive acquaintance; no complete omniscience follows merely from presence.</w:t>
            </w:r>
          </w:p>
        </w:tc>
      </w:tr>
      <w:tr>
        <w:tc>
          <w:tcPr>
            <w:tcW w:type="dxa" w:w="1689"/>
          </w:tcPr>
          <w:p>
            <w:pPr>
              <w:pStyle w:val="BodyText"/>
              <w:keepNext w:val="0"/>
              <w:spacing w:after="80" w:line="252" w:lineRule="auto"/>
              <w:jc w:val="left"/>
            </w:pPr>
            <w:r>
              <w:rPr>
                <w:rFonts w:ascii="Calibri" w:hAnsi="Calibri"/>
                <w:sz w:val="17"/>
              </w:rPr>
              <w:t xml:space="preserve">Participation → communion</w:t>
            </w:r>
          </w:p>
        </w:tc>
        <w:tc>
          <w:tcPr>
            <w:tcW w:type="dxa" w:w="2749"/>
          </w:tcPr>
          <w:p>
            <w:pPr>
              <w:pStyle w:val="BodyText"/>
              <w:keepNext w:val="0"/>
              <w:spacing w:after="80" w:line="252" w:lineRule="auto"/>
              <w:jc w:val="left"/>
            </w:pPr>
            <w:r>
              <w:rPr>
                <w:rFonts w:ascii="Calibri" w:hAnsi="Calibri"/>
                <w:sz w:val="17"/>
              </w:rPr>
              <w:t xml:space="preserve">Distinct persons genuinely know and love, rather than merely share a cause.</w:t>
            </w:r>
          </w:p>
        </w:tc>
        <w:tc>
          <w:tcPr>
            <w:tcW w:type="dxa" w:w="2749"/>
          </w:tcPr>
          <w:p>
            <w:pPr>
              <w:pStyle w:val="BodyText"/>
              <w:keepNext w:val="0"/>
              <w:spacing w:after="80" w:line="252" w:lineRule="auto"/>
              <w:jc w:val="left"/>
            </w:pPr>
            <w:r>
              <w:rPr>
                <w:rFonts w:ascii="Calibri" w:hAnsi="Calibri"/>
                <w:sz w:val="17"/>
              </w:rPr>
              <w:t xml:space="preserve">Personal capacities, fitting ends, and, for supernatural communion, revelation and grace.</w:t>
            </w:r>
          </w:p>
        </w:tc>
        <w:tc>
          <w:tcPr>
            <w:tcW w:type="dxa" w:w="2749"/>
          </w:tcPr>
          <w:p>
            <w:pPr>
              <w:pStyle w:val="BodyText"/>
              <w:keepNext w:val="0"/>
              <w:spacing w:after="80" w:line="252" w:lineRule="auto"/>
              <w:jc w:val="left"/>
            </w:pPr>
            <w:r>
              <w:rPr>
                <w:rFonts w:ascii="Calibri" w:hAnsi="Calibri"/>
                <w:sz w:val="17"/>
              </w:rPr>
              <w:t xml:space="preserve">Dependence without recognition, love, or personal fulfillment.</w:t>
            </w:r>
          </w:p>
        </w:tc>
      </w:tr>
    </w:tbl>
    <w:p>
      <w:pPr>
        <w:pStyle w:val="BodyText"/>
      </w:pPr>
      <w:r>
        <w:t xml:space="preserve">Nonconstitutive real distinctions remain outside the immediate scope of the noncomposition theorem. These are conditional arguments with identifiable work to do. A countermodel shows why a missing bridge matters; it does not show that every historical defense of that bridge fails. The computational witnesses test stated interpretations, not the philosophical truth of the whole ontology.</w:t>
      </w:r>
    </w:p>
    <w:bookmarkEnd w:id="245"/>
    <w:bookmarkStart w:id="246" w:name="a-concrete-test-for-finite-goods"/>
    <w:p>
      <w:pPr>
        <w:pStyle w:val="Heading3"/>
      </w:pPr>
      <w:r>
        <w:t xml:space="preserve">A concrete test for finite goods</w:t>
      </w:r>
    </w:p>
    <w:p>
      <w:pPr>
        <w:pStyle w:val="FirstParagraph"/>
      </w:pPr>
      <w:r>
        <w:t xml:space="preserve">Ask what happens when the alleged limitation is removed.</w:t>
      </w:r>
    </w:p>
    <w:p>
      <w:pPr>
        <w:pStyle w:val="Compact"/>
        <w:numPr>
          <w:ilvl w:val="0"/>
          <w:numId w:val="1010"/>
        </w:numPr>
      </w:pPr>
      <w:r>
        <w:rPr>
          <w:b/>
          <w:bCs/>
        </w:rPr>
        <w:t xml:space="preserve">Privation:</w:t>
      </w:r>
      <w:r>
        <w:t xml:space="preserve"> </w:t>
      </w:r>
      <w:r>
        <w:t xml:space="preserve">removing ignorance improves understanding.</w:t>
      </w:r>
    </w:p>
    <w:p>
      <w:pPr>
        <w:pStyle w:val="Compact"/>
        <w:numPr>
          <w:ilvl w:val="0"/>
          <w:numId w:val="1010"/>
        </w:numPr>
      </w:pPr>
      <w:r>
        <w:rPr>
          <w:b/>
          <w:bCs/>
        </w:rPr>
        <w:t xml:space="preserve">Constitutive finite condition:</w:t>
      </w:r>
      <w:r>
        <w:t xml:space="preserve"> </w:t>
      </w:r>
      <w:r>
        <w:t xml:space="preserve">removing succession abolishes a melody rather than producing the same melody more perfectly.</w:t>
      </w:r>
    </w:p>
    <w:p>
      <w:pPr>
        <w:pStyle w:val="Compact"/>
        <w:numPr>
          <w:ilvl w:val="0"/>
          <w:numId w:val="1010"/>
        </w:numPr>
      </w:pPr>
      <w:r>
        <w:rPr>
          <w:b/>
          <w:bCs/>
        </w:rPr>
        <w:t xml:space="preserve">Adverse occasion:</w:t>
      </w:r>
      <w:r>
        <w:t xml:space="preserve"> </w:t>
      </w:r>
      <w:r>
        <w:t xml:space="preserve">courage can be good in danger without making the danger good or justifying its manufacture.</w:t>
      </w:r>
    </w:p>
    <w:p>
      <w:pPr>
        <w:pStyle w:val="FirstParagraph"/>
      </w:pPr>
      <w:r>
        <w:t xml:space="preserve">This test supports positive analogy without transferring an entire creaturely mode into God. Grounding the good of learning does not require God to learn. It also protects moral seriousness: healing and forgiveness do not justify illness or injury. Fulfillment can remove defects while preserving the creature’s identity and particular goods.</w:t>
      </w:r>
    </w:p>
    <w:bookmarkEnd w:id="246"/>
    <w:bookmarkStart w:id="247" w:name="where-revelation-changes-the-warrant"/>
    <w:p>
      <w:pPr>
        <w:pStyle w:val="Heading3"/>
      </w:pPr>
      <w:r>
        <w:t xml:space="preserve">Where revelation changes the warrant</w:t>
      </w:r>
    </w:p>
    <w:p>
      <w:pPr>
        <w:pStyle w:val="FirstParagraph"/>
      </w:pPr>
      <w:r>
        <w:t xml:space="preserve">The natural grammar is preparatory. It does not discover the Trinity, the Incarnation, sacramental institution, grace, or beatific vision by manipulating its symbols. Revealed personal origins are not creaturely reception; the Son’s being from the Father does not make the divine essence received from a more basic actuality. The hypostatic union is not merely an intensified case of ordinary participation.</w:t>
      </w:r>
    </w:p>
    <w:p>
      <w:pPr>
        <w:pStyle w:val="BodyText"/>
      </w:pPr>
      <w:r>
        <w:t xml:space="preserve">The manuscript’s account of God as the All names plenitude considered as universal sourcehood, never God and creatures combined into a larger totality. It requires positive perfection and universal sourcehood as well as negative exclusions. The Pauline all-in-all is a further, revealed consummation. In 1 Corinthians 15:20–28, it belongs to resurrection, Christ’s reign, the defeat of death, and the kingdom handed to the Father. This contextual account follows the supplied manuscript; it is not a newly verified translation or a metaphysical deduction from six simplicity arguments. The verse alone does not settle universal salvation.</w:t>
      </w:r>
    </w:p>
    <w:p>
      <w:pPr>
        <w:pStyle w:val="BodyText"/>
      </w:pPr>
      <w:r>
        <w:t xml:space="preserve">The resulting positive thesis is:</w:t>
      </w:r>
      <w:r>
        <w:t xml:space="preserve"> </w:t>
      </w:r>
      <w:r>
        <w:rPr>
          <w:b/>
          <w:bCs/>
        </w:rPr>
        <w:t xml:space="preserve">creation can be fulfilled in God without completing God.</w:t>
      </w:r>
      <w:r>
        <w:t xml:space="preserve"> </w:t>
      </w:r>
      <w:r>
        <w:t xml:space="preserve">The creature’s transformation is real; divine fullness is not assembled from that transformation. Immediate communion need not become exhaustive comprehension or absorption.</w:t>
      </w:r>
    </w:p>
    <w:bookmarkEnd w:id="247"/>
    <w:bookmarkStart w:id="249" w:name="what-this-development-claims"/>
    <w:p>
      <w:pPr>
        <w:pStyle w:val="Heading3"/>
      </w:pPr>
      <w:r>
        <w:t xml:space="preserve">What this development claims</w:t>
      </w:r>
    </w:p>
    <w:p>
      <w:pPr>
        <w:pStyle w:val="FirstParagraph"/>
      </w:pPr>
      <w:r>
        <w:t xml:space="preserve">The contribution is a coordinated explanation of possession, origin, intention, disclosure, and fulfillment. It neither claims an earned seventh proof of simplicity nor introduces a new primitive under a new name. Its Newman-like development test asks whether the synthesis preserves doctrine’s governing type, conserves the earlier achievements, assimilates distinctions without hiding contradictions, and makes the sequence of arguments more intelligible. That is a methodological assessment, not ecclesial certification.</w:t>
      </w:r>
    </w:p>
    <w:p>
      <w:pPr>
        <w:pStyle w:val="BodyText"/>
      </w:pPr>
      <w:r>
        <w:t xml:space="preserve">For each significant conclusion, retain four lines: the proposed explanation; its indispensable bridge; the strongest surviving rival; what remains to be established. This permits a positive metaphysical proposal to have explanatory power without treating its promise as a completed demonstration.</w:t>
      </w:r>
    </w:p>
    <w:p>
      <w:pPr>
        <w:pStyle w:val="BodyText"/>
      </w:pPr>
      <w:r>
        <w:t xml:space="preserve">Read</w:t>
      </w:r>
      <w:r>
        <w:t xml:space="preserve"> </w:t>
      </w:r>
      <w:hyperlink r:id="rId171">
        <w:r>
          <w:rPr>
            <w:rStyle w:val="Hyperlink"/>
          </w:rPr>
          <w:t xml:space="preserve">Participation</w:t>
        </w:r>
      </w:hyperlink>
      <w:r>
        <w:t xml:space="preserve">,</w:t>
      </w:r>
      <w:r>
        <w:t xml:space="preserve"> </w:t>
      </w:r>
      <w:hyperlink r:id="rId248">
        <w:r>
          <w:rPr>
            <w:rStyle w:val="Hyperlink"/>
          </w:rPr>
          <w:t xml:space="preserve">Beyond Participation</w:t>
        </w:r>
      </w:hyperlink>
      <w:r>
        <w:t xml:space="preserve">, and</w:t>
      </w:r>
      <w:r>
        <w:t xml:space="preserve"> </w:t>
      </w:r>
      <w:hyperlink r:id="rId170">
        <w:r>
          <w:rPr>
            <w:rStyle w:val="Hyperlink"/>
          </w:rPr>
          <w:t xml:space="preserve">Divine Agency</w:t>
        </w:r>
      </w:hyperlink>
      <w:r>
        <w:t xml:space="preserve">.</w:t>
      </w:r>
    </w:p>
    <w:bookmarkEnd w:id="249"/>
    <w:bookmarkEnd w:id="250"/>
    <w:sectPr w:rsidR="00FC693F" w:rsidRPr="0006063C" w:rsidSect="00034616">
      <w:headerReference w:type="default" r:id="rId9"/>
      <w:footerReference w:type="default" r:id="rId10"/>
      <w:pgSz w:h="15840" w:w="12240"/>
      <w:pgMar w:bottom="1152" w:footer="432" w:gutter="0" w:header="432" w:left="1152" w:right="1152" w:top="1152"/>
      <w:cols w:space="720"/>
      <w:titlePg/>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Complete website backup · October 17, 2026  |  Page </w:t>
    </w:r>
    <w:r/>
    <w:fldSimple w:instr="PAGE"/>
    <w:r>
      <w:t xml:space="preserve"> of </w:t>
    </w:r>
    <w:r/>
    <w:fldSimple w:instr="NUMPAGES"/>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PARTICIPATION RESEARCH ATLAS  |  PART II</w:t>
    </w: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140" w:line="276" w:lineRule="auto"/>
    </w:pPr>
    <w:rPr>
      <w:rFonts w:ascii="Cambria" w:hAnsi="Cambria"/>
      <w:color w:val="263432"/>
      <w:sz w:val="22"/>
    </w:rPr>
  </w:style>
  <w:style w:styleId="Header" w:type="paragraph">
    <w:name w:val="header"/>
    <w:basedOn w:val="Normal"/>
    <w:link w:val="HeaderChar"/>
    <w:uiPriority w:val="99"/>
    <w:unhideWhenUsed/>
    <w:rsid w:val="00E618BF"/>
    <w:pPr>
      <w:tabs>
        <w:tab w:pos="4680" w:val="center"/>
        <w:tab w:pos="9360" w:val="right"/>
      </w:tabs>
      <w:spacing w:after="0" w:line="240" w:lineRule="auto"/>
    </w:pPr>
    <w:rPr>
      <w:rFonts w:ascii="Calibri" w:hAnsi="Calibri"/>
      <w:color w:val="64716B"/>
      <w:sz w:val="18"/>
    </w:r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rPr>
      <w:rFonts w:ascii="Calibri" w:hAnsi="Calibri"/>
      <w:color w:val="64716B"/>
      <w:sz w:val="18"/>
    </w:r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pageBreakBefore/>
      <w:spacing w:after="180" w:before="340"/>
      <w:outlineLvl w:val="0"/>
    </w:pPr>
    <w:rPr>
      <w:rFonts w:ascii="Georgia" w:asciiTheme="majorHAnsi" w:cstheme="majorBidi" w:eastAsiaTheme="majorEastAsia" w:hAnsi="Georgia" w:hAnsiTheme="majorHAnsi"/>
      <w:b/>
      <w:bCs/>
      <w:color w:val="223C3A"/>
      <w:sz w:val="40"/>
      <w:szCs w:val="28"/>
    </w:rPr>
  </w:style>
  <w:style w:styleId="Heading2" w:type="paragraph">
    <w:name w:val="heading 2"/>
    <w:basedOn w:val="Normal"/>
    <w:next w:val="Normal"/>
    <w:link w:val="Heading2Char"/>
    <w:uiPriority w:val="9"/>
    <w:unhideWhenUsed/>
    <w:qFormat/>
    <w:rsid w:val="00FC693F"/>
    <w:pPr>
      <w:keepNext/>
      <w:keepLines/>
      <w:spacing w:after="180" w:before="340"/>
      <w:outlineLvl w:val="1"/>
    </w:pPr>
    <w:rPr>
      <w:rFonts w:ascii="Georgia" w:asciiTheme="majorHAnsi" w:cstheme="majorBidi" w:eastAsiaTheme="majorEastAsia" w:hAnsi="Georgia" w:hAnsiTheme="majorHAnsi"/>
      <w:b/>
      <w:bCs/>
      <w:color w:val="223C3A"/>
      <w:sz w:val="30"/>
      <w:szCs w:val="26"/>
    </w:rPr>
  </w:style>
  <w:style w:styleId="Heading3" w:type="paragraph">
    <w:name w:val="heading 3"/>
    <w:basedOn w:val="Normal"/>
    <w:next w:val="Normal"/>
    <w:link w:val="Heading3Char"/>
    <w:uiPriority w:val="9"/>
    <w:unhideWhenUsed/>
    <w:qFormat/>
    <w:rsid w:val="00FC693F"/>
    <w:pPr>
      <w:keepNext/>
      <w:keepLines/>
      <w:spacing w:after="180" w:before="340"/>
      <w:outlineLvl w:val="2"/>
    </w:pPr>
    <w:rPr>
      <w:rFonts w:ascii="Georgia" w:asciiTheme="majorHAnsi" w:cstheme="majorBidi" w:eastAsiaTheme="majorEastAsia" w:hAnsi="Georgia" w:hAnsiTheme="majorHAnsi"/>
      <w:b/>
      <w:bCs/>
      <w:color w:val="223C3A"/>
      <w:sz w:val="24"/>
    </w:rPr>
  </w:style>
  <w:style w:styleId="Heading4" w:type="paragraph">
    <w:name w:val="heading 4"/>
    <w:basedOn w:val="Normal"/>
    <w:next w:val="Normal"/>
    <w:link w:val="Heading4Char"/>
    <w:uiPriority w:val="9"/>
    <w:semiHidden/>
    <w:unhideWhenUsed/>
    <w:qFormat/>
    <w:rsid w:val="00FC693F"/>
    <w:pPr>
      <w:keepNext/>
      <w:keepLines/>
      <w:spacing w:after="180" w:before="340"/>
      <w:outlineLvl w:val="3"/>
    </w:pPr>
    <w:rPr>
      <w:rFonts w:ascii="Georgia" w:asciiTheme="majorHAnsi" w:cstheme="majorBidi" w:eastAsiaTheme="majorEastAsia" w:hAnsi="Georgia" w:hAnsiTheme="majorHAnsi"/>
      <w:b/>
      <w:bCs/>
      <w:i/>
      <w:iCs/>
      <w:color w:val="223C3A"/>
      <w:sz w:val="22"/>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keepNext/>
      <w:pBdr>
        <w:bottom w:color="4F81BD" w:space="4" w:sz="8" w:themeColor="accent1" w:val="single"/>
      </w:pBdr>
      <w:spacing w:after="180" w:before="800" w:line="240" w:lineRule="auto"/>
      <w:contextualSpacing/>
    </w:pPr>
    <w:rPr>
      <w:rFonts w:ascii="Georgia" w:asciiTheme="majorHAnsi" w:cstheme="majorBidi" w:eastAsiaTheme="majorEastAsia" w:hAnsi="Georgia" w:hAnsiTheme="majorHAnsi"/>
      <w:color w:val="223C3A"/>
      <w:spacing w:val="5"/>
      <w:kern w:val="28"/>
      <w:sz w:val="58"/>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Cambria" w:asciiTheme="majorHAnsi" w:cstheme="majorBidi" w:eastAsiaTheme="majorEastAsia" w:hAnsi="Cambria" w:hAnsiTheme="majorHAnsi"/>
      <w:i/>
      <w:iCs/>
      <w:color w:val="9D593C"/>
      <w:spacing w:val="15"/>
      <w:sz w:val="30"/>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40" w:line="276" w:lineRule="auto"/>
    </w:pPr>
    <w:rPr>
      <w:rFonts w:ascii="Cambria" w:hAnsi="Cambria"/>
      <w:color w:val="263432"/>
      <w:sz w:val="22"/>
    </w:r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customStyle="1" w:styleId="SourceCode" w:type="paragraph">
    <w:name w:val="Source Code"/>
    <w:rPr>
      <w:rFonts w:ascii="DejaVu Sans Mono" w:hAnsi="DejaVu Sans Mono"/>
      <w:sz w:val="16"/>
    </w:rPr>
  </w:style>
  <w:style w:customStyle="1" w:styleId="VerbatimChar" w:type="character">
    <w:name w:val="Verbatim Char"/>
    <w:rPr>
      <w:rFonts w:ascii="DejaVu Sans Mono" w:hAnsi="DejaVu Sans Mono"/>
      <w:sz w:val="16"/>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171" Type="http://schemas.openxmlformats.org/officeDocument/2006/relationships/hyperlink" Target="https://participation-6o4.pages.dev/" TargetMode="External"/><Relationship Id="rId138" Type="http://schemas.openxmlformats.org/officeDocument/2006/relationships/hyperlink" Target="https://participation-6o4.pages.dev/#freedom" TargetMode="External"/><Relationship Id="rId248" Type="http://schemas.openxmlformats.org/officeDocument/2006/relationships/hyperlink" Target="https://participation-6o4.pages.dev/beyond-participation/" TargetMode="External"/><Relationship Id="rId145" Type="http://schemas.openxmlformats.org/officeDocument/2006/relationships/hyperlink" Target="https://participation-6o4.pages.dev/beyond-participation/#agency" TargetMode="External"/><Relationship Id="rId137" Type="http://schemas.openxmlformats.org/officeDocument/2006/relationships/hyperlink" Target="https://participation-6o4.pages.dev/beyond-participation/#contingency" TargetMode="External"/><Relationship Id="rId130" Type="http://schemas.openxmlformats.org/officeDocument/2006/relationships/hyperlink" Target="https://participation-6o4.pages.dev/beyond-participation/#map" TargetMode="External"/><Relationship Id="rId129" Type="http://schemas.openxmlformats.org/officeDocument/2006/relationships/hyperlink" Target="https://participation-6o4.pages.dev/beyond-participation/#simplicity" TargetMode="External"/><Relationship Id="rId146" Type="http://schemas.openxmlformats.org/officeDocument/2006/relationships/hyperlink" Target="https://participation-6o4.pages.dev/beyond-participation/#specification" TargetMode="External"/><Relationship Id="rId63" Type="http://schemas.openxmlformats.org/officeDocument/2006/relationships/hyperlink" Target="https://participation-6o4.pages.dev/glossary/" TargetMode="External"/><Relationship Id="rId29" Type="http://schemas.openxmlformats.org/officeDocument/2006/relationships/hyperlink" Target="https://participation-6o4.pages.dev/glossary/#term-act-potency" TargetMode="External"/><Relationship Id="rId90" Type="http://schemas.openxmlformats.org/officeDocument/2006/relationships/hyperlink" Target="https://participation-6o4.pages.dev/glossary/#term-active-power" TargetMode="External"/><Relationship Id="rId23" Type="http://schemas.openxmlformats.org/officeDocument/2006/relationships/hyperlink" Target="https://participation-6o4.pages.dev/glossary/#term-actuality" TargetMode="External"/><Relationship Id="rId21" Type="http://schemas.openxmlformats.org/officeDocument/2006/relationships/hyperlink" Target="https://participation-6o4.pages.dev/glossary/#term-agency" TargetMode="External"/><Relationship Id="rId59" Type="http://schemas.openxmlformats.org/officeDocument/2006/relationships/hyperlink" Target="https://participation-6o4.pages.dev/glossary/#term-analogia-entis" TargetMode="External"/><Relationship Id="rId78" Type="http://schemas.openxmlformats.org/officeDocument/2006/relationships/hyperlink" Target="https://participation-6o4.pages.dev/glossary/#term-attribute-simplicity" TargetMode="External"/><Relationship Id="rId55" Type="http://schemas.openxmlformats.org/officeDocument/2006/relationships/hyperlink" Target="https://participation-6o4.pages.dev/glossary/#term-bridge-principle" TargetMode="External"/><Relationship Id="rId60" Type="http://schemas.openxmlformats.org/officeDocument/2006/relationships/hyperlink" Target="https://participation-6o4.pages.dev/glossary/#term-brute-fact" TargetMode="External"/><Relationship Id="rId34" Type="http://schemas.openxmlformats.org/officeDocument/2006/relationships/hyperlink" Target="https://participation-6o4.pages.dev/glossary/#term-causal-adequacy" TargetMode="External"/><Relationship Id="rId37" Type="http://schemas.openxmlformats.org/officeDocument/2006/relationships/hyperlink" Target="https://participation-6o4.pages.dev/glossary/#term-common-genus" TargetMode="External"/><Relationship Id="rId77" Type="http://schemas.openxmlformats.org/officeDocument/2006/relationships/hyperlink" Target="https://participation-6o4.pages.dev/glossary/#term-composition" TargetMode="External"/><Relationship Id="rId26" Type="http://schemas.openxmlformats.org/officeDocument/2006/relationships/hyperlink" Target="https://participation-6o4.pages.dev/glossary/#term-constitution" TargetMode="External"/><Relationship Id="rId70" Type="http://schemas.openxmlformats.org/officeDocument/2006/relationships/hyperlink" Target="https://participation-6o4.pages.dev/glossary/#term-contingency" TargetMode="External"/><Relationship Id="rId82" Type="http://schemas.openxmlformats.org/officeDocument/2006/relationships/hyperlink" Target="https://participation-6o4.pages.dev/glossary/#term-countermodel" TargetMode="External"/><Relationship Id="rId56" Type="http://schemas.openxmlformats.org/officeDocument/2006/relationships/hyperlink" Target="https://participation-6o4.pages.dev/glossary/#term-countermodel-deletion" TargetMode="External"/><Relationship Id="rId24" Type="http://schemas.openxmlformats.org/officeDocument/2006/relationships/hyperlink" Target="https://participation-6o4.pages.dev/glossary/#term-determination" TargetMode="External"/><Relationship Id="rId93" Type="http://schemas.openxmlformats.org/officeDocument/2006/relationships/hyperlink" Target="https://participation-6o4.pages.dev/glossary/#term-disclosure" TargetMode="External"/><Relationship Id="rId41" Type="http://schemas.openxmlformats.org/officeDocument/2006/relationships/hyperlink" Target="https://participation-6o4.pages.dev/glossary/#term-divine-concurrence" TargetMode="External"/><Relationship Id="rId20" Type="http://schemas.openxmlformats.org/officeDocument/2006/relationships/hyperlink" Target="https://participation-6o4.pages.dev/glossary/#term-divine-simplicity" TargetMode="External"/><Relationship Id="rId48" Type="http://schemas.openxmlformats.org/officeDocument/2006/relationships/hyperlink" Target="https://participation-6o4.pages.dev/glossary/#term-efficacy" TargetMode="External"/><Relationship Id="rId51" Type="http://schemas.openxmlformats.org/officeDocument/2006/relationships/hyperlink" Target="https://participation-6o4.pages.dev/glossary/#term-epistemic-warrant" TargetMode="External"/><Relationship Id="rId30" Type="http://schemas.openxmlformats.org/officeDocument/2006/relationships/hyperlink" Target="https://participation-6o4.pages.dev/glossary/#term-essence-existence" TargetMode="External"/><Relationship Id="rId38" Type="http://schemas.openxmlformats.org/officeDocument/2006/relationships/hyperlink" Target="https://participation-6o4.pages.dev/glossary/#term-exemplarism" TargetMode="External"/><Relationship Id="rId87" Type="http://schemas.openxmlformats.org/officeDocument/2006/relationships/hyperlink" Target="https://participation-6o4.pages.dev/glossary/#term-explanation" TargetMode="External"/><Relationship Id="rId72" Type="http://schemas.openxmlformats.org/officeDocument/2006/relationships/hyperlink" Target="https://participation-6o4.pages.dev/glossary/#term-explanatory-completion" TargetMode="External"/><Relationship Id="rId50" Type="http://schemas.openxmlformats.org/officeDocument/2006/relationships/hyperlink" Target="https://participation-6o4.pages.dev/glossary/#term-factivity" TargetMode="External"/><Relationship Id="rId28" Type="http://schemas.openxmlformats.org/officeDocument/2006/relationships/hyperlink" Target="https://participation-6o4.pages.dev/glossary/#term-formal-distinction" TargetMode="External"/><Relationship Id="rId61" Type="http://schemas.openxmlformats.org/officeDocument/2006/relationships/hyperlink" Target="https://participation-6o4.pages.dev/glossary/#term-grounding" TargetMode="External"/><Relationship Id="rId47" Type="http://schemas.openxmlformats.org/officeDocument/2006/relationships/hyperlink" Target="https://participation-6o4.pages.dev/glossary/#term-intentionality" TargetMode="External"/><Relationship Id="rId73" Type="http://schemas.openxmlformats.org/officeDocument/2006/relationships/hyperlink" Target="https://participation-6o4.pages.dev/glossary/#term-intrinsic-actuality" TargetMode="External"/><Relationship Id="rId27" Type="http://schemas.openxmlformats.org/officeDocument/2006/relationships/hyperlink" Target="https://participation-6o4.pages.dev/glossary/#term-intrinsic-extrinsic" TargetMode="External"/><Relationship Id="rId46" Type="http://schemas.openxmlformats.org/officeDocument/2006/relationships/hyperlink" Target="https://participation-6o4.pages.dev/glossary/#term-intrinsic-invariance" TargetMode="External"/><Relationship Id="rId39" Type="http://schemas.openxmlformats.org/officeDocument/2006/relationships/hyperlink" Target="https://participation-6o4.pages.dev/glossary/#term-logoi-rationes" TargetMode="External"/><Relationship Id="rId106" Type="http://schemas.openxmlformats.org/officeDocument/2006/relationships/hyperlink" Target="https://participation-6o4.pages.dev/glossary/#term-manifestation" TargetMode="External"/><Relationship Id="rId107" Type="http://schemas.openxmlformats.org/officeDocument/2006/relationships/hyperlink" Target="https://participation-6o4.pages.dev/glossary/#term-measure-mode" TargetMode="External"/><Relationship Id="rId45" Type="http://schemas.openxmlformats.org/officeDocument/2006/relationships/hyperlink" Target="https://participation-6o4.pages.dev/glossary/#term-modal-collapse" TargetMode="External"/><Relationship Id="rId43" Type="http://schemas.openxmlformats.org/officeDocument/2006/relationships/hyperlink" Target="https://participation-6o4.pages.dev/glossary/#term-modality" TargetMode="External"/><Relationship Id="rId42" Type="http://schemas.openxmlformats.org/officeDocument/2006/relationships/hyperlink" Target="https://participation-6o4.pages.dev/glossary/#term-necessary-emanation" TargetMode="External"/><Relationship Id="rId85" Type="http://schemas.openxmlformats.org/officeDocument/2006/relationships/hyperlink" Target="https://participation-6o4.pages.dev/glossary/#term-necessitation" TargetMode="External"/><Relationship Id="rId36" Type="http://schemas.openxmlformats.org/officeDocument/2006/relationships/hyperlink" Target="https://participation-6o4.pages.dev/glossary/#term-nonexhaustion" TargetMode="External"/><Relationship Id="rId32" Type="http://schemas.openxmlformats.org/officeDocument/2006/relationships/hyperlink" Target="https://participation-6o4.pages.dev/glossary/#term-ontological-dependence" TargetMode="External"/><Relationship Id="rId66" Type="http://schemas.openxmlformats.org/officeDocument/2006/relationships/hyperlink" Target="https://participation-6o4.pages.dev/glossary/#term-participation" TargetMode="External"/><Relationship Id="rId54" Type="http://schemas.openxmlformats.org/officeDocument/2006/relationships/hyperlink" Target="https://participation-6o4.pages.dev/glossary/#term-plenitude" TargetMode="External"/><Relationship Id="rId68" Type="http://schemas.openxmlformats.org/officeDocument/2006/relationships/hyperlink" Target="https://participation-6o4.pages.dev/glossary/#term-predication" TargetMode="External"/><Relationship Id="rId86" Type="http://schemas.openxmlformats.org/officeDocument/2006/relationships/hyperlink" Target="https://participation-6o4.pages.dev/glossary/#term-primitive" TargetMode="External"/><Relationship Id="rId49" Type="http://schemas.openxmlformats.org/officeDocument/2006/relationships/hyperlink" Target="https://participation-6o4.pages.dev/glossary/#term-productive-knowledge" TargetMode="External"/><Relationship Id="rId76" Type="http://schemas.openxmlformats.org/officeDocument/2006/relationships/hyperlink" Target="https://participation-6o4.pages.dev/glossary/#term-pure-actuality" TargetMode="External"/><Relationship Id="rId35" Type="http://schemas.openxmlformats.org/officeDocument/2006/relationships/hyperlink" Target="https://participation-6o4.pages.dev/glossary/#term-pure-perfection" TargetMode="External"/><Relationship Id="rId25" Type="http://schemas.openxmlformats.org/officeDocument/2006/relationships/hyperlink" Target="https://participation-6o4.pages.dev/glossary/#term-realization" TargetMode="External"/><Relationship Id="rId69" Type="http://schemas.openxmlformats.org/officeDocument/2006/relationships/hyperlink" Target="https://participation-6o4.pages.dev/glossary/#term-reasons" TargetMode="External"/><Relationship Id="rId79" Type="http://schemas.openxmlformats.org/officeDocument/2006/relationships/hyperlink" Target="https://participation-6o4.pages.dev/glossary/#term-reception" TargetMode="External"/><Relationship Id="rId52" Type="http://schemas.openxmlformats.org/officeDocument/2006/relationships/hyperlink" Target="https://participation-6o4.pages.dev/glossary/#term-relational-divine-action" TargetMode="External"/><Relationship Id="rId40" Type="http://schemas.openxmlformats.org/officeDocument/2006/relationships/hyperlink" Target="https://participation-6o4.pages.dev/glossary/#term-secondary-causality" TargetMode="External"/><Relationship Id="rId31" Type="http://schemas.openxmlformats.org/officeDocument/2006/relationships/hyperlink" Target="https://participation-6o4.pages.dev/glossary/#term-substance-accident" TargetMode="External"/><Relationship Id="rId44" Type="http://schemas.openxmlformats.org/officeDocument/2006/relationships/hyperlink" Target="https://participation-6o4.pages.dev/glossary/#term-synchronic-contingency" TargetMode="External"/><Relationship Id="rId62" Type="http://schemas.openxmlformats.org/officeDocument/2006/relationships/hyperlink" Target="https://participation-6o4.pages.dev/glossary/#term-truthmaking" TargetMode="External"/><Relationship Id="rId33" Type="http://schemas.openxmlformats.org/officeDocument/2006/relationships/hyperlink" Target="https://participation-6o4.pages.dev/glossary/#term-underivation" TargetMode="External"/><Relationship Id="rId58" Type="http://schemas.openxmlformats.org/officeDocument/2006/relationships/hyperlink" Target="https://participation-6o4.pages.dev/glossary/#term-unity" TargetMode="External"/><Relationship Id="rId53" Type="http://schemas.openxmlformats.org/officeDocument/2006/relationships/hyperlink" Target="https://participation-6o4.pages.dev/glossary/#term-unreceived-determinacy" TargetMode="External"/><Relationship Id="rId57" Type="http://schemas.openxmlformats.org/officeDocument/2006/relationships/hyperlink" Target="https://participation-6o4.pages.dev/glossary/#term-whole-priority" TargetMode="External"/><Relationship Id="rId170" Type="http://schemas.openxmlformats.org/officeDocument/2006/relationships/hyperlink" Target="https://participation-6o4.pages.dev/real-difference/" TargetMode="External"/><Relationship Id="rId147" Type="http://schemas.openxmlformats.org/officeDocument/2006/relationships/hyperlink" Target="https://participation-6o4.pages.dev/real-difference/#exercise" TargetMode="External"/><Relationship Id="rId122" Type="http://schemas.openxmlformats.org/officeDocument/2006/relationships/hyperlink" Target="https://participation-6o4.pages.dev/research/beyond-development.md" TargetMode="External"/><Relationship Id="rId120" Type="http://schemas.openxmlformats.org/officeDocument/2006/relationships/hyperlink" Target="https://participation-6o4.pages.dev/research/beyond-formal.md" TargetMode="External"/><Relationship Id="rId119" Type="http://schemas.openxmlformats.org/officeDocument/2006/relationships/hyperlink" Target="https://participation-6o4.pages.dev/research/beyond-report.md" TargetMode="External"/><Relationship Id="rId121" Type="http://schemas.openxmlformats.org/officeDocument/2006/relationships/hyperlink" Target="https://participation-6o4.pages.dev/research/beyond-sources.md" TargetMode="External"/><Relationship Id="rId164" Type="http://schemas.openxmlformats.org/officeDocument/2006/relationships/hyperlink" Target="https://participation-6o4.pages.dev/research/eastern-metaphysics.md" TargetMode="External"/><Relationship Id="rId210" Type="http://schemas.openxmlformats.org/officeDocument/2006/relationships/hyperlink" Target="https://participation-6o4.pages.dev/research/formal-architecture.md" TargetMode="External"/><Relationship Id="rId223" Type="http://schemas.openxmlformats.org/officeDocument/2006/relationships/hyperlink" Target="https://participation-6o4.pages.dev/research/latin-exemplarism.md" TargetMode="External"/><Relationship Id="rId22" Type="http://schemas.openxmlformats.org/officeDocument/2006/relationships/hyperlink" Target="https://participation-6o4.pages.dev/research/reading-guide.md" TargetMode="External"/><Relationship Id="rId156" Type="http://schemas.openxmlformats.org/officeDocument/2006/relationships/hyperlink" Target="https://plato.stanford.edu/entries/anselm/" TargetMode="External"/><Relationship Id="rId158" Type="http://schemas.openxmlformats.org/officeDocument/2006/relationships/hyperlink" Target="https://plato.stanford.edu/entries/divine-simplicity/" TargetMode="External"/><Relationship Id="rId154" Type="http://schemas.openxmlformats.org/officeDocument/2006/relationships/hyperlink" Target="https://plato.stanford.edu/entries/duns-scotus/" TargetMode="External"/><Relationship Id="rId160" Type="http://schemas.openxmlformats.org/officeDocument/2006/relationships/hyperlink" Target="https://plato.stanford.edu/entries/omniscience/" TargetMode="External"/><Relationship Id="rId166" Type="http://schemas.openxmlformats.org/officeDocument/2006/relationships/hyperlink" Target="https://raw.githubusercontent.com/GITenberg/An-Essay-on-the-Development-of-Christian-Doctrine_35110/master/35110-0.txt" TargetMode="External"/><Relationship Id="rId150" Type="http://schemas.openxmlformats.org/officeDocument/2006/relationships/hyperlink" Target="https://raw.githubusercontent.com/GITenberg/Summa-Theologica-Part-I--Prima-Pars-From-the-Complete-American-Edition_17611/master/17611.txt" TargetMode="External"/><Relationship Id="rId162" Type="http://schemas.openxmlformats.org/officeDocument/2006/relationships/hyperlink" Target="https://raw.githubusercontent.com/GITenberg/The-City-of-God-Volume-I_45304/master/45304-h/45304-h.htm" TargetMode="External"/><Relationship Id="rId173" Type="http://schemas.openxmlformats.org/officeDocument/2006/relationships/hyperlink" Target="https://robertdryer.pages.dev/divine-simplicity/questions/one-universal-underived-source/" TargetMode="External"/><Relationship Id="rId174" Type="http://schemas.openxmlformats.org/officeDocument/2006/relationships/hyperlink" Target="https://robertdryer.pages.dev/divine-simplicity/questions/six-accomplishments-of-simplicity/" TargetMode="External"/><Relationship Id="rId64" Type="http://schemas.openxmlformats.org/officeDocument/2006/relationships/hyperlink" Target="https://robertdryer.pages.dev/search/" TargetMode="External"/><Relationship Id="rId177" Type="http://schemas.openxmlformats.org/officeDocument/2006/relationships/hyperlink" Target="https://robertdryer.pages.dev/writing/what-participation-means/" TargetMode="External"/><Relationship Id="rId176" Type="http://schemas.openxmlformats.org/officeDocument/2006/relationships/hyperlink" Target="https://robertdryer.pages.dev/writing/why-distinctions-matter/" TargetMode="External"/><Relationship Id="rId9" Type="http://schemas.openxmlformats.org/officeDocument/2006/relationships/header" Target="header1.xml"/><Relationship Id="rId10" Type="http://schemas.openxmlformats.org/officeDocument/2006/relationships/footer" Target="footer1.xml"/></Relationships>
</file>

<file path=word/_rels/footnotes.xml.rels><?xml version='1.0' encoding='UTF-8' standalone='yes'?>
<Relationships xmlns="http://schemas.openxmlformats.org/package/2006/relationships"><Relationship Id="rId171" Type="http://schemas.openxmlformats.org/officeDocument/2006/relationships/hyperlink" Target="https://participation-6o4.pages.dev/" TargetMode="External"/><Relationship Id="rId138" Type="http://schemas.openxmlformats.org/officeDocument/2006/relationships/hyperlink" Target="https://participation-6o4.pages.dev/#freedom" TargetMode="External"/><Relationship Id="rId248" Type="http://schemas.openxmlformats.org/officeDocument/2006/relationships/hyperlink" Target="https://participation-6o4.pages.dev/beyond-participation/" TargetMode="External"/><Relationship Id="rId145" Type="http://schemas.openxmlformats.org/officeDocument/2006/relationships/hyperlink" Target="https://participation-6o4.pages.dev/beyond-participation/#agency" TargetMode="External"/><Relationship Id="rId137" Type="http://schemas.openxmlformats.org/officeDocument/2006/relationships/hyperlink" Target="https://participation-6o4.pages.dev/beyond-participation/#contingency" TargetMode="External"/><Relationship Id="rId130" Type="http://schemas.openxmlformats.org/officeDocument/2006/relationships/hyperlink" Target="https://participation-6o4.pages.dev/beyond-participation/#map" TargetMode="External"/><Relationship Id="rId129" Type="http://schemas.openxmlformats.org/officeDocument/2006/relationships/hyperlink" Target="https://participation-6o4.pages.dev/beyond-participation/#simplicity" TargetMode="External"/><Relationship Id="rId146" Type="http://schemas.openxmlformats.org/officeDocument/2006/relationships/hyperlink" Target="https://participation-6o4.pages.dev/beyond-participation/#specification" TargetMode="External"/><Relationship Id="rId63" Type="http://schemas.openxmlformats.org/officeDocument/2006/relationships/hyperlink" Target="https://participation-6o4.pages.dev/glossary/" TargetMode="External"/><Relationship Id="rId29" Type="http://schemas.openxmlformats.org/officeDocument/2006/relationships/hyperlink" Target="https://participation-6o4.pages.dev/glossary/#term-act-potency" TargetMode="External"/><Relationship Id="rId90" Type="http://schemas.openxmlformats.org/officeDocument/2006/relationships/hyperlink" Target="https://participation-6o4.pages.dev/glossary/#term-active-power" TargetMode="External"/><Relationship Id="rId23" Type="http://schemas.openxmlformats.org/officeDocument/2006/relationships/hyperlink" Target="https://participation-6o4.pages.dev/glossary/#term-actuality" TargetMode="External"/><Relationship Id="rId21" Type="http://schemas.openxmlformats.org/officeDocument/2006/relationships/hyperlink" Target="https://participation-6o4.pages.dev/glossary/#term-agency" TargetMode="External"/><Relationship Id="rId59" Type="http://schemas.openxmlformats.org/officeDocument/2006/relationships/hyperlink" Target="https://participation-6o4.pages.dev/glossary/#term-analogia-entis" TargetMode="External"/><Relationship Id="rId78" Type="http://schemas.openxmlformats.org/officeDocument/2006/relationships/hyperlink" Target="https://participation-6o4.pages.dev/glossary/#term-attribute-simplicity" TargetMode="External"/><Relationship Id="rId55" Type="http://schemas.openxmlformats.org/officeDocument/2006/relationships/hyperlink" Target="https://participation-6o4.pages.dev/glossary/#term-bridge-principle" TargetMode="External"/><Relationship Id="rId60" Type="http://schemas.openxmlformats.org/officeDocument/2006/relationships/hyperlink" Target="https://participation-6o4.pages.dev/glossary/#term-brute-fact" TargetMode="External"/><Relationship Id="rId34" Type="http://schemas.openxmlformats.org/officeDocument/2006/relationships/hyperlink" Target="https://participation-6o4.pages.dev/glossary/#term-causal-adequacy" TargetMode="External"/><Relationship Id="rId37" Type="http://schemas.openxmlformats.org/officeDocument/2006/relationships/hyperlink" Target="https://participation-6o4.pages.dev/glossary/#term-common-genus" TargetMode="External"/><Relationship Id="rId77" Type="http://schemas.openxmlformats.org/officeDocument/2006/relationships/hyperlink" Target="https://participation-6o4.pages.dev/glossary/#term-composition" TargetMode="External"/><Relationship Id="rId26" Type="http://schemas.openxmlformats.org/officeDocument/2006/relationships/hyperlink" Target="https://participation-6o4.pages.dev/glossary/#term-constitution" TargetMode="External"/><Relationship Id="rId70" Type="http://schemas.openxmlformats.org/officeDocument/2006/relationships/hyperlink" Target="https://participation-6o4.pages.dev/glossary/#term-contingency" TargetMode="External"/><Relationship Id="rId82" Type="http://schemas.openxmlformats.org/officeDocument/2006/relationships/hyperlink" Target="https://participation-6o4.pages.dev/glossary/#term-countermodel" TargetMode="External"/><Relationship Id="rId56" Type="http://schemas.openxmlformats.org/officeDocument/2006/relationships/hyperlink" Target="https://participation-6o4.pages.dev/glossary/#term-countermodel-deletion" TargetMode="External"/><Relationship Id="rId24" Type="http://schemas.openxmlformats.org/officeDocument/2006/relationships/hyperlink" Target="https://participation-6o4.pages.dev/glossary/#term-determination" TargetMode="External"/><Relationship Id="rId93" Type="http://schemas.openxmlformats.org/officeDocument/2006/relationships/hyperlink" Target="https://participation-6o4.pages.dev/glossary/#term-disclosure" TargetMode="External"/><Relationship Id="rId41" Type="http://schemas.openxmlformats.org/officeDocument/2006/relationships/hyperlink" Target="https://participation-6o4.pages.dev/glossary/#term-divine-concurrence" TargetMode="External"/><Relationship Id="rId20" Type="http://schemas.openxmlformats.org/officeDocument/2006/relationships/hyperlink" Target="https://participation-6o4.pages.dev/glossary/#term-divine-simplicity" TargetMode="External"/><Relationship Id="rId48" Type="http://schemas.openxmlformats.org/officeDocument/2006/relationships/hyperlink" Target="https://participation-6o4.pages.dev/glossary/#term-efficacy" TargetMode="External"/><Relationship Id="rId51" Type="http://schemas.openxmlformats.org/officeDocument/2006/relationships/hyperlink" Target="https://participation-6o4.pages.dev/glossary/#term-epistemic-warrant" TargetMode="External"/><Relationship Id="rId30" Type="http://schemas.openxmlformats.org/officeDocument/2006/relationships/hyperlink" Target="https://participation-6o4.pages.dev/glossary/#term-essence-existence" TargetMode="External"/><Relationship Id="rId38" Type="http://schemas.openxmlformats.org/officeDocument/2006/relationships/hyperlink" Target="https://participation-6o4.pages.dev/glossary/#term-exemplarism" TargetMode="External"/><Relationship Id="rId87" Type="http://schemas.openxmlformats.org/officeDocument/2006/relationships/hyperlink" Target="https://participation-6o4.pages.dev/glossary/#term-explanation" TargetMode="External"/><Relationship Id="rId72" Type="http://schemas.openxmlformats.org/officeDocument/2006/relationships/hyperlink" Target="https://participation-6o4.pages.dev/glossary/#term-explanatory-completion" TargetMode="External"/><Relationship Id="rId50" Type="http://schemas.openxmlformats.org/officeDocument/2006/relationships/hyperlink" Target="https://participation-6o4.pages.dev/glossary/#term-factivity" TargetMode="External"/><Relationship Id="rId28" Type="http://schemas.openxmlformats.org/officeDocument/2006/relationships/hyperlink" Target="https://participation-6o4.pages.dev/glossary/#term-formal-distinction" TargetMode="External"/><Relationship Id="rId61" Type="http://schemas.openxmlformats.org/officeDocument/2006/relationships/hyperlink" Target="https://participation-6o4.pages.dev/glossary/#term-grounding" TargetMode="External"/><Relationship Id="rId47" Type="http://schemas.openxmlformats.org/officeDocument/2006/relationships/hyperlink" Target="https://participation-6o4.pages.dev/glossary/#term-intentionality" TargetMode="External"/><Relationship Id="rId73" Type="http://schemas.openxmlformats.org/officeDocument/2006/relationships/hyperlink" Target="https://participation-6o4.pages.dev/glossary/#term-intrinsic-actuality" TargetMode="External"/><Relationship Id="rId27" Type="http://schemas.openxmlformats.org/officeDocument/2006/relationships/hyperlink" Target="https://participation-6o4.pages.dev/glossary/#term-intrinsic-extrinsic" TargetMode="External"/><Relationship Id="rId46" Type="http://schemas.openxmlformats.org/officeDocument/2006/relationships/hyperlink" Target="https://participation-6o4.pages.dev/glossary/#term-intrinsic-invariance" TargetMode="External"/><Relationship Id="rId39" Type="http://schemas.openxmlformats.org/officeDocument/2006/relationships/hyperlink" Target="https://participation-6o4.pages.dev/glossary/#term-logoi-rationes" TargetMode="External"/><Relationship Id="rId106" Type="http://schemas.openxmlformats.org/officeDocument/2006/relationships/hyperlink" Target="https://participation-6o4.pages.dev/glossary/#term-manifestation" TargetMode="External"/><Relationship Id="rId107" Type="http://schemas.openxmlformats.org/officeDocument/2006/relationships/hyperlink" Target="https://participation-6o4.pages.dev/glossary/#term-measure-mode" TargetMode="External"/><Relationship Id="rId45" Type="http://schemas.openxmlformats.org/officeDocument/2006/relationships/hyperlink" Target="https://participation-6o4.pages.dev/glossary/#term-modal-collapse" TargetMode="External"/><Relationship Id="rId43" Type="http://schemas.openxmlformats.org/officeDocument/2006/relationships/hyperlink" Target="https://participation-6o4.pages.dev/glossary/#term-modality" TargetMode="External"/><Relationship Id="rId42" Type="http://schemas.openxmlformats.org/officeDocument/2006/relationships/hyperlink" Target="https://participation-6o4.pages.dev/glossary/#term-necessary-emanation" TargetMode="External"/><Relationship Id="rId85" Type="http://schemas.openxmlformats.org/officeDocument/2006/relationships/hyperlink" Target="https://participation-6o4.pages.dev/glossary/#term-necessitation" TargetMode="External"/><Relationship Id="rId36" Type="http://schemas.openxmlformats.org/officeDocument/2006/relationships/hyperlink" Target="https://participation-6o4.pages.dev/glossary/#term-nonexhaustion" TargetMode="External"/><Relationship Id="rId32" Type="http://schemas.openxmlformats.org/officeDocument/2006/relationships/hyperlink" Target="https://participation-6o4.pages.dev/glossary/#term-ontological-dependence" TargetMode="External"/><Relationship Id="rId66" Type="http://schemas.openxmlformats.org/officeDocument/2006/relationships/hyperlink" Target="https://participation-6o4.pages.dev/glossary/#term-participation" TargetMode="External"/><Relationship Id="rId54" Type="http://schemas.openxmlformats.org/officeDocument/2006/relationships/hyperlink" Target="https://participation-6o4.pages.dev/glossary/#term-plenitude" TargetMode="External"/><Relationship Id="rId68" Type="http://schemas.openxmlformats.org/officeDocument/2006/relationships/hyperlink" Target="https://participation-6o4.pages.dev/glossary/#term-predication" TargetMode="External"/><Relationship Id="rId86" Type="http://schemas.openxmlformats.org/officeDocument/2006/relationships/hyperlink" Target="https://participation-6o4.pages.dev/glossary/#term-primitive" TargetMode="External"/><Relationship Id="rId49" Type="http://schemas.openxmlformats.org/officeDocument/2006/relationships/hyperlink" Target="https://participation-6o4.pages.dev/glossary/#term-productive-knowledge" TargetMode="External"/><Relationship Id="rId76" Type="http://schemas.openxmlformats.org/officeDocument/2006/relationships/hyperlink" Target="https://participation-6o4.pages.dev/glossary/#term-pure-actuality" TargetMode="External"/><Relationship Id="rId35" Type="http://schemas.openxmlformats.org/officeDocument/2006/relationships/hyperlink" Target="https://participation-6o4.pages.dev/glossary/#term-pure-perfection" TargetMode="External"/><Relationship Id="rId25" Type="http://schemas.openxmlformats.org/officeDocument/2006/relationships/hyperlink" Target="https://participation-6o4.pages.dev/glossary/#term-realization" TargetMode="External"/><Relationship Id="rId69" Type="http://schemas.openxmlformats.org/officeDocument/2006/relationships/hyperlink" Target="https://participation-6o4.pages.dev/glossary/#term-reasons" TargetMode="External"/><Relationship Id="rId79" Type="http://schemas.openxmlformats.org/officeDocument/2006/relationships/hyperlink" Target="https://participation-6o4.pages.dev/glossary/#term-reception" TargetMode="External"/><Relationship Id="rId52" Type="http://schemas.openxmlformats.org/officeDocument/2006/relationships/hyperlink" Target="https://participation-6o4.pages.dev/glossary/#term-relational-divine-action" TargetMode="External"/><Relationship Id="rId40" Type="http://schemas.openxmlformats.org/officeDocument/2006/relationships/hyperlink" Target="https://participation-6o4.pages.dev/glossary/#term-secondary-causality" TargetMode="External"/><Relationship Id="rId31" Type="http://schemas.openxmlformats.org/officeDocument/2006/relationships/hyperlink" Target="https://participation-6o4.pages.dev/glossary/#term-substance-accident" TargetMode="External"/><Relationship Id="rId44" Type="http://schemas.openxmlformats.org/officeDocument/2006/relationships/hyperlink" Target="https://participation-6o4.pages.dev/glossary/#term-synchronic-contingency" TargetMode="External"/><Relationship Id="rId62" Type="http://schemas.openxmlformats.org/officeDocument/2006/relationships/hyperlink" Target="https://participation-6o4.pages.dev/glossary/#term-truthmaking" TargetMode="External"/><Relationship Id="rId33" Type="http://schemas.openxmlformats.org/officeDocument/2006/relationships/hyperlink" Target="https://participation-6o4.pages.dev/glossary/#term-underivation" TargetMode="External"/><Relationship Id="rId58" Type="http://schemas.openxmlformats.org/officeDocument/2006/relationships/hyperlink" Target="https://participation-6o4.pages.dev/glossary/#term-unity" TargetMode="External"/><Relationship Id="rId53" Type="http://schemas.openxmlformats.org/officeDocument/2006/relationships/hyperlink" Target="https://participation-6o4.pages.dev/glossary/#term-unreceived-determinacy" TargetMode="External"/><Relationship Id="rId57" Type="http://schemas.openxmlformats.org/officeDocument/2006/relationships/hyperlink" Target="https://participation-6o4.pages.dev/glossary/#term-whole-priority" TargetMode="External"/><Relationship Id="rId170" Type="http://schemas.openxmlformats.org/officeDocument/2006/relationships/hyperlink" Target="https://participation-6o4.pages.dev/real-difference/" TargetMode="External"/><Relationship Id="rId147" Type="http://schemas.openxmlformats.org/officeDocument/2006/relationships/hyperlink" Target="https://participation-6o4.pages.dev/real-difference/#exercise" TargetMode="External"/><Relationship Id="rId122" Type="http://schemas.openxmlformats.org/officeDocument/2006/relationships/hyperlink" Target="https://participation-6o4.pages.dev/research/beyond-development.md" TargetMode="External"/><Relationship Id="rId120" Type="http://schemas.openxmlformats.org/officeDocument/2006/relationships/hyperlink" Target="https://participation-6o4.pages.dev/research/beyond-formal.md" TargetMode="External"/><Relationship Id="rId119" Type="http://schemas.openxmlformats.org/officeDocument/2006/relationships/hyperlink" Target="https://participation-6o4.pages.dev/research/beyond-report.md" TargetMode="External"/><Relationship Id="rId121" Type="http://schemas.openxmlformats.org/officeDocument/2006/relationships/hyperlink" Target="https://participation-6o4.pages.dev/research/beyond-sources.md" TargetMode="External"/><Relationship Id="rId164" Type="http://schemas.openxmlformats.org/officeDocument/2006/relationships/hyperlink" Target="https://participation-6o4.pages.dev/research/eastern-metaphysics.md" TargetMode="External"/><Relationship Id="rId210" Type="http://schemas.openxmlformats.org/officeDocument/2006/relationships/hyperlink" Target="https://participation-6o4.pages.dev/research/formal-architecture.md" TargetMode="External"/><Relationship Id="rId223" Type="http://schemas.openxmlformats.org/officeDocument/2006/relationships/hyperlink" Target="https://participation-6o4.pages.dev/research/latin-exemplarism.md" TargetMode="External"/><Relationship Id="rId22" Type="http://schemas.openxmlformats.org/officeDocument/2006/relationships/hyperlink" Target="https://participation-6o4.pages.dev/research/reading-guide.md" TargetMode="External"/><Relationship Id="rId156" Type="http://schemas.openxmlformats.org/officeDocument/2006/relationships/hyperlink" Target="https://plato.stanford.edu/entries/anselm/" TargetMode="External"/><Relationship Id="rId158" Type="http://schemas.openxmlformats.org/officeDocument/2006/relationships/hyperlink" Target="https://plato.stanford.edu/entries/divine-simplicity/" TargetMode="External"/><Relationship Id="rId154" Type="http://schemas.openxmlformats.org/officeDocument/2006/relationships/hyperlink" Target="https://plato.stanford.edu/entries/duns-scotus/" TargetMode="External"/><Relationship Id="rId160" Type="http://schemas.openxmlformats.org/officeDocument/2006/relationships/hyperlink" Target="https://plato.stanford.edu/entries/omniscience/" TargetMode="External"/><Relationship Id="rId166" Type="http://schemas.openxmlformats.org/officeDocument/2006/relationships/hyperlink" Target="https://raw.githubusercontent.com/GITenberg/An-Essay-on-the-Development-of-Christian-Doctrine_35110/master/35110-0.txt" TargetMode="External"/><Relationship Id="rId150" Type="http://schemas.openxmlformats.org/officeDocument/2006/relationships/hyperlink" Target="https://raw.githubusercontent.com/GITenberg/Summa-Theologica-Part-I--Prima-Pars-From-the-Complete-American-Edition_17611/master/17611.txt" TargetMode="External"/><Relationship Id="rId162" Type="http://schemas.openxmlformats.org/officeDocument/2006/relationships/hyperlink" Target="https://raw.githubusercontent.com/GITenberg/The-City-of-God-Volume-I_45304/master/45304-h/45304-h.htm" TargetMode="External"/><Relationship Id="rId173" Type="http://schemas.openxmlformats.org/officeDocument/2006/relationships/hyperlink" Target="https://robertdryer.pages.dev/divine-simplicity/questions/one-universal-underived-source/" TargetMode="External"/><Relationship Id="rId174" Type="http://schemas.openxmlformats.org/officeDocument/2006/relationships/hyperlink" Target="https://robertdryer.pages.dev/divine-simplicity/questions/six-accomplishments-of-simplicity/" TargetMode="External"/><Relationship Id="rId64" Type="http://schemas.openxmlformats.org/officeDocument/2006/relationships/hyperlink" Target="https://robertdryer.pages.dev/search/" TargetMode="External"/><Relationship Id="rId177" Type="http://schemas.openxmlformats.org/officeDocument/2006/relationships/hyperlink" Target="https://robertdryer.pages.dev/writing/what-participation-means/" TargetMode="External"/><Relationship Id="rId176" Type="http://schemas.openxmlformats.org/officeDocument/2006/relationships/hyperlink" Target="https://robertdryer.pages.dev/writing/why-distinctions-mat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Beyond Participation: Divine Simplicity and Freedom</dc:title>
  <dc:creator>Participation research atlas</dc:creator>
  <dc:language>en-US</dc:language>
  <cp:keywords>participation; divine agency; simplicity; free creation; complete backup</cp:keywords>
  <dcterms:created xsi:type="dcterms:W3CDTF">2026-10-17T19:55:42Z</dcterms:created>
  <dcterms:modified xsi:type="dcterms:W3CDTF">2026-10-17T19:55:42Z</dcterms:modified>
  <dc:subject>Complete backup of the website, interactive examples, and supporting research</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October 17, 2026</vt:lpwstr>
  </property>
  <property fmtid="{D5CDD505-2E9C-101B-9397-08002B2CF9AE}" pid="3" name="subtitle">
    <vt:lpwstr>Divine Simplicity and Freedom | Complete website backup</vt:lpwstr>
  </property>
</Properties>
</file>