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Divine Agency</w:t>
      </w:r>
    </w:p>
    <w:p>
      <w:pPr>
        <w:pStyle w:val="Subtitle"/>
      </w:pPr>
      <w:r>
        <w:t xml:space="preserve">Simplicity and Free Creation | Complete website backup</w:t>
      </w:r>
    </w:p>
    <w:p>
      <w:pPr>
        <w:pStyle w:val="Date"/>
      </w:pPr>
      <w:r>
        <w:t xml:space="preserve">October 17, 2026</w:t>
      </w:r>
    </w:p>
    <w:p>
      <w:pPr>
        <w:pStyle w:val="Heading1"/>
      </w:pPr>
      <w:r>
        <w:t xml:space="preserve">Contents</w:t>
      </w:r>
    </w:p>
    <w:p>
      <w:pPr>
        <w:pStyle w:val="FirstParagraph"/>
      </w:pPr>
      <w:r>
        <w:t xml:space="preserve">How to use this backup</w:t>
      </w:r>
    </w:p>
    <w:p>
      <w:pPr>
        <w:pStyle w:val="BodyText"/>
      </w:pPr>
      <w:r>
        <w:t xml:space="preserve">Website article</w:t>
      </w:r>
    </w:p>
    <w:p>
      <w:pPr>
        <w:pStyle w:val="BodyText"/>
      </w:pPr>
      <w:r>
        <w:t xml:space="preserve">Interactive material — complete static record</w:t>
      </w:r>
    </w:p>
    <w:p>
      <w:pPr>
        <w:pStyle w:val="BodyText"/>
      </w:pPr>
      <w:r>
        <w:t xml:space="preserve">Appendix A — real-difference-report.md</w:t>
      </w:r>
    </w:p>
    <w:p>
      <w:pPr>
        <w:pStyle w:val="BodyText"/>
      </w:pPr>
      <w:r>
        <w:t xml:space="preserve">Appendix B — real-difference-formal.md</w:t>
      </w:r>
    </w:p>
    <w:p>
      <w:pPr>
        <w:pStyle w:val="BodyText"/>
      </w:pPr>
      <w:r>
        <w:t xml:space="preserve">Appendix C — real-difference-sources.md</w:t>
      </w:r>
    </w:p>
    <w:p>
      <w:pPr>
        <w:pStyle w:val="BodyText"/>
      </w:pPr>
      <w:r>
        <w:t xml:space="preserve">Appendix D — real-difference-ledger.json</w:t>
      </w:r>
    </w:p>
    <w:p>
      <w:pPr>
        <w:pStyle w:val="BodyText"/>
      </w:pPr>
      <w:r>
        <w:t xml:space="preserve">Appendix E — reading-guide.md</w:t>
      </w:r>
    </w:p>
    <w:p>
      <w:pPr>
        <w:pStyle w:val="Heading1"/>
      </w:pPr>
      <w:r>
        <w:t xml:space="preserve">How to use this backup</w:t>
      </w:r>
    </w:p>
    <w:p>
      <w:pPr>
        <w:pStyle w:val="FirstParagraph"/>
      </w:pPr>
      <w:r>
        <w:t xml:space="preserve">This document preserves the complete readable website article, all substantive interactive examples, and its project research files. It uses the revised terminology about divine action and agency. The website’s historical consultation limits and conditional claims are retained throughout.</w:t>
      </w:r>
    </w:p>
    <w:p>
      <w:pPr>
        <w:pStyle w:val="BodyText"/>
      </w:pPr>
      <w:r>
        <w:t xml:space="preserve">Original page: https:/​/​participation-​6o4.​pages.​dev/​real-​difference/​</w:t>
      </w:r>
    </w:p>
    <w:p>
      <w:pPr>
        <w:pStyle w:val="BodyText"/>
      </w:pPr>
      <w:r>
        <w:t xml:space="preserve">Backup snapshot: October 17, 2026 (America/Los_Angeles). The interactive controls are represented by complete static explanations; this document can be read without the website.</w:t>
      </w:r>
    </w:p>
    <w:p>
      <w:pPr>
        <w:pStyle w:val="Heading1"/>
      </w:pPr>
      <w:r>
        <w:t xml:space="preserve">Website article</w:t>
      </w:r>
    </w:p>
    <w:p>
      <w:pPr>
        <w:pStyle w:val="FirstParagraph"/>
      </w:pPr>
      <w:r>
        <w:t xml:space="preserve">PART III / DIVINE</w:t>
      </w:r>
      <w:r>
        <w:t xml:space="preserve"> </w:t>
      </w:r>
      <w:hyperlink r:id="rId20">
        <w:r>
          <w:rPr>
            <w:rStyle w:val="Hyperlink"/>
          </w:rPr>
          <w:t xml:space="preserve">AGENCY</w:t>
        </w:r>
      </w:hyperlink>
      <w:r>
        <w:t xml:space="preserve"> </w:t>
      </w:r>
      <w:r>
        <w:t xml:space="preserve">AND FREE CREATION</w:t>
      </w:r>
    </w:p>
    <w:p>
      <w:pPr>
        <w:pStyle w:val="BodyText"/>
      </w:pPr>
      <w:r>
        <w:rPr>
          <w:b/>
          <w:bCs/>
        </w:rPr>
        <w:t xml:space="preserve">Difference.Withoutaddition?</w:t>
      </w:r>
    </w:p>
    <w:p>
      <w:pPr>
        <w:pStyle w:val="BodyText"/>
      </w:pPr>
      <w:r>
        <w:t xml:space="preserve">How can God freely and knowingly create this world</w:t>
      </w:r>
      <w:r>
        <w:br/>
      </w:r>
      <w:r>
        <w:t xml:space="preserve">without creation adding to what God is?</w:t>
      </w:r>
    </w:p>
    <w:p>
      <w:pPr>
        <w:pStyle w:val="BodyText"/>
      </w:pPr>
      <w:r>
        <w:t xml:space="preserve">FOUR FACTS TO KEEP DISTINCT</w:t>
      </w:r>
    </w:p>
    <w:p>
      <w:pPr>
        <w:pStyle w:val="BodyText"/>
      </w:pPr>
      <w:r>
        <w:t xml:space="preserve">01</w:t>
      </w:r>
      <w:r>
        <w:rPr>
          <w:b/>
          <w:bCs/>
        </w:rPr>
        <w:t xml:space="preserve">Effect</w:t>
      </w:r>
      <w:r>
        <w:t xml:space="preserve">What comes to be?</w:t>
      </w:r>
    </w:p>
    <w:p>
      <w:pPr>
        <w:pStyle w:val="BodyText"/>
      </w:pPr>
      <w:r>
        <w:t xml:space="preserve">02</w:t>
      </w:r>
      <w:r>
        <w:rPr>
          <w:b/>
          <w:bCs/>
        </w:rPr>
        <w:t xml:space="preserve">Action</w:t>
      </w:r>
      <w:r>
        <w:t xml:space="preserve">Who actually directs it?</w:t>
      </w:r>
    </w:p>
    <w:p>
      <w:pPr>
        <w:pStyle w:val="BodyText"/>
      </w:pPr>
      <w:r>
        <w:t xml:space="preserve">03</w:t>
      </w:r>
      <w:r>
        <w:rPr>
          <w:b/>
          <w:bCs/>
        </w:rPr>
        <w:t xml:space="preserve">Reception</w:t>
      </w:r>
      <w:r>
        <w:t xml:space="preserve">How is it received?</w:t>
      </w:r>
    </w:p>
    <w:p>
      <w:pPr>
        <w:pStyle w:val="BodyText"/>
      </w:pPr>
      <w:r>
        <w:t xml:space="preserve">04</w:t>
      </w:r>
      <w:r>
        <w:rPr>
          <w:b/>
          <w:bCs/>
        </w:rPr>
        <w:t xml:space="preserve">Access</w:t>
      </w:r>
      <w:r>
        <w:t xml:space="preserve">How is it known?</w:t>
      </w:r>
    </w:p>
    <w:p>
      <w:pPr>
        <w:pStyle w:val="BodyText"/>
      </w:pPr>
      <w:r>
        <w:t xml:space="preserve">One complete account.</w:t>
      </w:r>
      <w:r>
        <w:br/>
      </w:r>
      <w:r>
        <w:t xml:space="preserve">Each fact needs its own</w:t>
      </w:r>
      <w:r>
        <w:t xml:space="preserve"> </w:t>
      </w:r>
      <w:hyperlink r:id="rId21">
        <w:r>
          <w:rPr>
            <w:rStyle w:val="Hyperlink"/>
          </w:rPr>
          <w:t xml:space="preserve">explanation</w:t>
        </w:r>
      </w:hyperlink>
      <w:r>
        <w:t xml:space="preserve">.</w:t>
      </w:r>
    </w:p>
    <w:p>
      <w:pPr>
        <w:pStyle w:val="BodyText"/>
      </w:pPr>
      <w:r>
        <w:t xml:space="preserve">FROM / LIKE / OTHER</w:t>
      </w:r>
      <w:r>
        <w:br/>
      </w:r>
      <w:r>
        <w:t xml:space="preserve">SIMPLE? / FREE? / SELF-KNOWING?</w:t>
      </w:r>
      <w:r>
        <w:br/>
      </w:r>
      <w:r>
        <w:t xml:space="preserve">ACTION / ITS EFFECT / HOW IT IS KNOWN</w:t>
      </w:r>
    </w:p>
    <w:bookmarkStart w:id="56" w:name="X403fdae680a7b8f41e4ad4ac699ff91450df36e"/>
    <w:p>
      <w:pPr>
        <w:pStyle w:val="Heading3"/>
      </w:pPr>
      <w:r>
        <w:t xml:space="preserve">Terms on this page</w:t>
      </w:r>
      <w:r>
        <w:t xml:space="preserve"> </w:t>
      </w:r>
      <w:r>
        <w:t xml:space="preserve">33 plain-English explanations</w:t>
      </w:r>
    </w:p>
    <w:p>
      <w:pPr>
        <w:pStyle w:val="FirstParagraph"/>
      </w:pPr>
      <w:r>
        <w:t xml:space="preserve">Open a definition here, or follow its name to the shared glossary for distinctions and related reading. A definition clarifies a claim; it does not establish its truth.</w:t>
      </w:r>
    </w:p>
    <w:p>
      <w:pPr>
        <w:pStyle w:val="DefinitionTerm"/>
      </w:pPr>
      <w:hyperlink r:id="rId22">
        <w:r>
          <w:rPr>
            <w:rStyle w:val="Hyperlink"/>
          </w:rPr>
          <w:t xml:space="preserve">Determination</w:t>
        </w:r>
      </w:hyperlink>
    </w:p>
    <w:p>
      <w:pPr>
        <w:pStyle w:val="Definition"/>
      </w:pPr>
      <w:r>
        <w:t xml:space="preserve">How a reality is specifically so: this patient is awake, this intention concerns helping someone, or this act produces this effect. Determination is not necessarily an event of being determined by something else. The project asks separately what makes a description true, whether its subject receives that actuality, and whether an actual choice could have differed.</w:t>
      </w:r>
    </w:p>
    <w:p>
      <w:pPr>
        <w:pStyle w:val="DefinitionTerm"/>
      </w:pPr>
      <w:hyperlink r:id="rId23">
        <w:r>
          <w:rPr>
            <w:rStyle w:val="Hyperlink"/>
          </w:rPr>
          <w:t xml:space="preserve">Realization</w:t>
        </w:r>
      </w:hyperlink>
    </w:p>
    <w:p>
      <w:pPr>
        <w:pStyle w:val="Definition"/>
      </w:pPr>
      <w:r>
        <w:t xml:space="preserve">The actual condition in virtue of which a content or description is instantiated in a subject. Different descriptions may sometimes be supported by the same concrete reality without becoming synonyms. This possibility does not establish that all properties share one realizer, or that divine attributes are identical; each proposed identity still requires an argument.</w:t>
      </w:r>
    </w:p>
    <w:p>
      <w:pPr>
        <w:pStyle w:val="DefinitionTerm"/>
      </w:pPr>
      <w:hyperlink r:id="rId24">
        <w:r>
          <w:rPr>
            <w:rStyle w:val="Hyperlink"/>
          </w:rPr>
          <w:t xml:space="preserve">Constitution</w:t>
        </w:r>
      </w:hyperlink>
    </w:p>
    <w:p>
      <w:pPr>
        <w:pStyle w:val="Definition"/>
      </w:pPr>
      <w:r>
        <w:t xml:space="preserve">What makes up or internally contributes to a whole's actuality, as timber does to a table. A proper constituent is less than the whole it helps constitute. Composition concerns such constitutive plurality. Whether every proposed internal distinction has this role, and whether the whole depends on its constituents, require further arguments rather than following from the word distinct.</w:t>
      </w:r>
    </w:p>
    <w:p>
      <w:pPr>
        <w:pStyle w:val="DefinitionTerm"/>
      </w:pPr>
      <w:hyperlink r:id="rId25">
        <w:r>
          <w:rPr>
            <w:rStyle w:val="Hyperlink"/>
          </w:rPr>
          <w:t xml:space="preserve">Intrinsic and extrinsic</w:t>
        </w:r>
      </w:hyperlink>
    </w:p>
    <w:p>
      <w:pPr>
        <w:pStyle w:val="Definition"/>
      </w:pPr>
      <w:r>
        <w:t xml:space="preserve">An intrinsic feature concerns what a reality is or how it is in itself; an extrinsic attribution concerns it through a relation to something else. Different accounts disagree over the precise boundary. Calling a divine action 'relational' therefore opens a question about its real basis; it does not already explain its intentional determination.</w:t>
      </w:r>
    </w:p>
    <w:p>
      <w:pPr>
        <w:pStyle w:val="DefinitionTerm"/>
      </w:pPr>
      <w:hyperlink r:id="rId26">
        <w:r>
          <w:rPr>
            <w:rStyle w:val="Hyperlink"/>
          </w:rPr>
          <w:t xml:space="preserve">Real distinction</w:t>
        </w:r>
      </w:hyperlink>
    </w:p>
    <w:p>
      <w:pPr>
        <w:pStyle w:val="Definition"/>
      </w:pPr>
      <w:r>
        <w:t xml:space="preserve">A difference founded in reality rather than produced solely by our way of thinking or speaking. Different things, personal relations, activities, and constitutive principles may differ in different senses; identifying a distinction as real does not yet identify its metaphysical category. A conceptual distinction concerns different ways of understanding, which can sometimes have a common real foundation.</w:t>
      </w:r>
    </w:p>
    <w:p>
      <w:pPr>
        <w:pStyle w:val="DefinitionTerm"/>
      </w:pPr>
      <w:hyperlink r:id="rId27">
        <w:r>
          <w:rPr>
            <w:rStyle w:val="Hyperlink"/>
          </w:rPr>
          <w:t xml:space="preserve">Underivation and sourcehood</w:t>
        </w:r>
      </w:hyperlink>
    </w:p>
    <w:p>
      <w:pPr>
        <w:pStyle w:val="Definition"/>
      </w:pPr>
      <w:r>
        <w:t xml:space="preserve">A source is an origin of the relevant actuality in another. Absolute underivation denies receiving or depending upon anything for the actuality by which the source is ultimate; aseity expresses divine being from no other. This is not self-production, infinity, or simplicity by definition. The Son's personal origin from the Father is a different theological relation from creaturely dependence.</w:t>
      </w:r>
    </w:p>
    <w:p>
      <w:pPr>
        <w:pStyle w:val="DefinitionTerm"/>
      </w:pPr>
      <w:hyperlink r:id="rId28">
        <w:r>
          <w:rPr>
            <w:rStyle w:val="Hyperlink"/>
          </w:rPr>
          <w:t xml:space="preserve">Truthmaking</w:t>
        </w:r>
      </w:hyperlink>
    </w:p>
    <w:p>
      <w:pPr>
        <w:pStyle w:val="Definition"/>
      </w:pPr>
      <w:r>
        <w:t xml:space="preserve">The relation by which reality accounts for a statement's being true. A patient's actual condition can make a report true without being evidence available to its writer. Similarly, an effect's existence may be required for a true assertion about it without the effect producing or informing God's knowledge. Truthmaking and cognitive acquisition therefore require separate analysis.</w:t>
      </w:r>
    </w:p>
    <w:p>
      <w:pPr>
        <w:pStyle w:val="DefinitionTerm"/>
      </w:pPr>
      <w:hyperlink r:id="rId29">
        <w:r>
          <w:rPr>
            <w:rStyle w:val="Hyperlink"/>
          </w:rPr>
          <w:t xml:space="preserve">Reception</w:t>
        </w:r>
      </w:hyperlink>
    </w:p>
    <w:p>
      <w:pPr>
        <w:pStyle w:val="Definition"/>
      </w:pPr>
      <w:r>
        <w:t xml:space="preserve">The possession of an actuality or perfection whose productive source is another. Reception need not be passive inactivity: receiving a real power can enable the recipient's own exercise. In this project reception is analyzed through causation and real possession; it does not already mean resemblance to the source, finite measure, free agency, or nonpartition.</w:t>
      </w:r>
    </w:p>
    <w:p>
      <w:pPr>
        <w:pStyle w:val="DefinitionTerm"/>
      </w:pPr>
      <w:hyperlink r:id="rId30">
        <w:r>
          <w:rPr>
            <w:rStyle w:val="Hyperlink"/>
          </w:rPr>
          <w:t xml:space="preserve">Participation</w:t>
        </w:r>
      </w:hyperlink>
    </w:p>
    <w:p>
      <w:pPr>
        <w:pStyle w:val="Definition"/>
      </w:pPr>
      <w:r>
        <w:t xml:space="preserve">Real, dependent possession of actuality or perfection according to the recipient's mode. The creature genuinely lives or understands rather than being an appearance of its source. Likeness, manifestation, the participant's own exercise, and fulfillment can extend this relation, but each needs its own bridge. Participation is therefore a connection across the project's analytical tools, not a word that proves all their conclusions.</w:t>
      </w:r>
    </w:p>
    <w:p>
      <w:pPr>
        <w:pStyle w:val="DefinitionTerm"/>
      </w:pPr>
      <w:hyperlink r:id="rId31">
        <w:r>
          <w:rPr>
            <w:rStyle w:val="Hyperlink"/>
          </w:rPr>
          <w:t xml:space="preserve">Measure or mode</w:t>
        </w:r>
      </w:hyperlink>
    </w:p>
    <w:p>
      <w:pPr>
        <w:pStyle w:val="Definition"/>
      </w:pPr>
      <w:r>
        <w:t xml:space="preserve">The way and capacity according to which a subject possesses a perfection. Seeing humanly and possessing divine knowledge need not be two quantities on one physical scale. In the formal model an ordering records bounded or unbounded actuality in a stated respect. A receiver's finite mode concerns that receiver; an independent argument is needed to limit the source.</w:t>
      </w:r>
    </w:p>
    <w:p>
      <w:pPr>
        <w:pStyle w:val="DefinitionTerm"/>
      </w:pPr>
      <w:hyperlink r:id="rId32">
        <w:r>
          <w:rPr>
            <w:rStyle w:val="Hyperlink"/>
          </w:rPr>
          <w:t xml:space="preserve">Theophany</w:t>
        </w:r>
      </w:hyperlink>
    </w:p>
    <w:p>
      <w:pPr>
        <w:pStyle w:val="Definition"/>
      </w:pPr>
      <w:r>
        <w:t xml:space="preserve">A manifestation of God in or through a created appearance, effect, or transformed recipient. Eriugena emphasizes that receiving such disclosure can itself transform the creature. The term must distinguish the divine source from the created manifestation and does not make the creature a constituent of God.</w:t>
      </w:r>
    </w:p>
    <w:p>
      <w:pPr>
        <w:pStyle w:val="DefinitionTerm"/>
      </w:pPr>
      <w:hyperlink r:id="rId33">
        <w:r>
          <w:rPr>
            <w:rStyle w:val="Hyperlink"/>
          </w:rPr>
          <w:t xml:space="preserve">Secondary causality</w:t>
        </w:r>
      </w:hyperlink>
    </w:p>
    <w:p>
      <w:pPr>
        <w:pStyle w:val="Definition"/>
      </w:pPr>
      <w:r>
        <w:t xml:space="preserve">The real causal activity of creatures whose existence and powers depend on God. A fire genuinely heats and a person genuinely acts; dependence does not make either a mere appearance of divine action. Calling these causes secondary identifies their dependence, not their unreality or unimportance.</w:t>
      </w:r>
    </w:p>
    <w:p>
      <w:pPr>
        <w:pStyle w:val="DefinitionTerm"/>
      </w:pPr>
      <w:hyperlink r:id="rId34">
        <w:r>
          <w:rPr>
            <w:rStyle w:val="Hyperlink"/>
          </w:rPr>
          <w:t xml:space="preserve">Divine concurrence</w:t>
        </w:r>
      </w:hyperlink>
    </w:p>
    <w:p>
      <w:pPr>
        <w:pStyle w:val="Definition"/>
      </w:pPr>
      <w:r>
        <w:t xml:space="preserve">God’s causally sustaining involvement in a creature’s own action. The creature genuinely exercises its received power; divine action does not become a second finite force competing for the same task. Accounts of precisely how this works differ among Catholic schools. Naming concurrence does not settle every question about freedom or responsibility.</w:t>
      </w:r>
    </w:p>
    <w:p>
      <w:pPr>
        <w:pStyle w:val="DefinitionTerm"/>
      </w:pPr>
      <w:hyperlink r:id="rId35">
        <w:r>
          <w:rPr>
            <w:rStyle w:val="Hyperlink"/>
          </w:rPr>
          <w:t xml:space="preserve">Noncompetitive causality</w:t>
        </w:r>
      </w:hyperlink>
    </w:p>
    <w:p>
      <w:pPr>
        <w:pStyle w:val="Definition"/>
      </w:pPr>
      <w:r>
        <w:t xml:space="preserve">Causal explanations can concern different respects rather than divide a fixed share of activity between competing producers. God's sustaining a created power need not displace the creature's exercise of it. This compatibility does not supply a complete concurrence theory, prove every claimed secondary cause, or make manipulation by a finite agent harmless.</w:t>
      </w:r>
    </w:p>
    <w:p>
      <w:pPr>
        <w:pStyle w:val="DefinitionTerm"/>
      </w:pPr>
      <w:hyperlink r:id="rId36">
        <w:r>
          <w:rPr>
            <w:rStyle w:val="Hyperlink"/>
          </w:rPr>
          <w:t xml:space="preserve">Necessary emanation</w:t>
        </w:r>
      </w:hyperlink>
    </w:p>
    <w:p>
      <w:pPr>
        <w:pStyle w:val="Definition"/>
      </w:pPr>
      <w:r>
        <w:t xml:space="preserve">Production of an effect that follows necessarily from its source, without a genuine alternative in which that production does not occur. It is a countermodel to inferring free creation from fullness or inexhaustibility: an unlimited source could necessarily produce a limited effect. The project does not classify every historical use of procession or diffusion of goodness as necessary emanation.</w:t>
      </w:r>
    </w:p>
    <w:p>
      <w:pPr>
        <w:pStyle w:val="DefinitionTerm"/>
      </w:pPr>
      <w:hyperlink r:id="rId37">
        <w:r>
          <w:rPr>
            <w:rStyle w:val="Hyperlink"/>
          </w:rPr>
          <w:t xml:space="preserve">Possibility, necessity, and contingency</w:t>
        </w:r>
      </w:hyperlink>
    </w:p>
    <w:p>
      <w:pPr>
        <w:pStyle w:val="Definition"/>
      </w:pPr>
      <w:r>
        <w:t xml:space="preserve">Possibility concerns what could genuinely be; necessity concerns what could not fail to be; contingency concerns what is actual but could have been otherwise. Possible worlds label complete alternatives rather than places or times in God. A consistent description is not automatically metaphysically possible, and temporal change is not the same as an alternative to the actual outcome.</w:t>
      </w:r>
    </w:p>
    <w:p>
      <w:pPr>
        <w:pStyle w:val="DefinitionTerm"/>
      </w:pPr>
      <w:hyperlink r:id="rId38">
        <w:r>
          <w:rPr>
            <w:rStyle w:val="Hyperlink"/>
          </w:rPr>
          <w:t xml:space="preserve">Intrinsic invariance</w:t>
        </w:r>
      </w:hyperlink>
    </w:p>
    <w:p>
      <w:pPr>
        <w:pStyle w:val="Definition"/>
      </w:pPr>
      <w:r>
        <w:t xml:space="preserve">The additional claim that the source's intrinsic actuality is identical across the different possible created outcomes under consideration. This is stronger than having no proper parts or never changing in time. A noncomposite source with different intrinsic intentions in different possible worlds is the rival. The project treats invariance as a disputed modal bridge, not a definition of simplicity.</w:t>
      </w:r>
    </w:p>
    <w:p>
      <w:pPr>
        <w:pStyle w:val="DefinitionTerm"/>
      </w:pPr>
      <w:hyperlink r:id="rId39">
        <w:r>
          <w:rPr>
            <w:rStyle w:val="Hyperlink"/>
          </w:rPr>
          <w:t xml:space="preserve">Intentionality</w:t>
        </w:r>
      </w:hyperlink>
    </w:p>
    <w:p>
      <w:pPr>
        <w:pStyle w:val="Definition"/>
      </w:pPr>
      <w:r>
        <w:t xml:space="preserve">The directedness of thought, desire, or action toward an understood object or content. An intention concerns what an agent undertakes, rather than everything that happens through the action. A produced outcome does not retrospectively supply its own intended meaning. The divine account must explain actual, source-originated direction while distinguishing intended goods from merely permitted effects.</w:t>
      </w:r>
    </w:p>
    <w:p>
      <w:pPr>
        <w:pStyle w:val="DefinitionTerm"/>
      </w:pPr>
      <w:hyperlink r:id="rId20">
        <w:r>
          <w:rPr>
            <w:rStyle w:val="Hyperlink"/>
          </w:rPr>
          <w:t xml:space="preserve">Agency</w:t>
        </w:r>
      </w:hyperlink>
    </w:p>
    <w:p>
      <w:pPr>
        <w:pStyle w:val="Definition"/>
      </w:pPr>
      <w:r>
        <w:t xml:space="preserve">A subject's own exercise of power in producing or directing an act. Intelligent agency includes acting for apprehended reasons. Free agency requires an account of authored control; where alternative outcomes are claimed, their genuine possibility needs further warrant. Dependence on a source does not itself establish intelligent selection or eliminate a creature's own causal contribution.</w:t>
      </w:r>
    </w:p>
    <w:p>
      <w:pPr>
        <w:pStyle w:val="DefinitionTerm"/>
      </w:pPr>
      <w:hyperlink r:id="rId40">
        <w:r>
          <w:rPr>
            <w:rStyle w:val="Hyperlink"/>
          </w:rPr>
          <w:t xml:space="preserve">Efficacy</w:t>
        </w:r>
      </w:hyperlink>
    </w:p>
    <w:p>
      <w:pPr>
        <w:pStyle w:val="Definition"/>
      </w:pPr>
      <w:r>
        <w:t xml:space="preserve">Success in bringing about an intended or causally specified effect. Intending, having power, and actually succeeding are different achievements. Infallible efficacy means that a given divine creative intention cannot fail in its execution. It does not by itself show that God must have that intention, that the intention is known, or that a creature's harmful intention is God's intention.</w:t>
      </w:r>
    </w:p>
    <w:p>
      <w:pPr>
        <w:pStyle w:val="DefinitionTerm"/>
      </w:pPr>
      <w:hyperlink r:id="rId41">
        <w:r>
          <w:rPr>
            <w:rStyle w:val="Hyperlink"/>
          </w:rPr>
          <w:t xml:space="preserve">Productive knowledge</w:t>
        </w:r>
      </w:hyperlink>
    </w:p>
    <w:p>
      <w:pPr>
        <w:pStyle w:val="Definition"/>
      </w:pPr>
      <w:r>
        <w:t xml:space="preserve">Knowledge of an effect through warranted awareness of the intelligent action that produces it, rather than learning from the finished effect. The proposal requires awareness of the actual intention, adequate disclosure of its result, and epistemic warrant. Knowing a power or all possible plans is insufficient. Its scope does not automatically include every independent secondary intention or establish complete divine omniscience.</w:t>
      </w:r>
    </w:p>
    <w:p>
      <w:pPr>
        <w:pStyle w:val="DefinitionTerm"/>
      </w:pPr>
      <w:hyperlink r:id="rId42">
        <w:r>
          <w:rPr>
            <w:rStyle w:val="Hyperlink"/>
          </w:rPr>
          <w:t xml:space="preserve">Factivity</w:t>
        </w:r>
      </w:hyperlink>
    </w:p>
    <w:p>
      <w:pPr>
        <w:pStyle w:val="Definition"/>
      </w:pPr>
      <w:r>
        <w:t xml:space="preserve">Knowledge is factive: if someone knows that a claim is true, the claim is true. Confidence or sincerity can be mistaken and is therefore insufficient. Factivity states a truth condition of knowledge; it does not itself explain cognitive access, the cause of the fact known, or whether the knower’s awareness necessitates the event.</w:t>
      </w:r>
    </w:p>
    <w:p>
      <w:pPr>
        <w:pStyle w:val="DefinitionTerm"/>
      </w:pPr>
      <w:hyperlink r:id="rId43">
        <w:r>
          <w:rPr>
            <w:rStyle w:val="Hyperlink"/>
          </w:rPr>
          <w:t xml:space="preserve">Warrant</w:t>
        </w:r>
      </w:hyperlink>
    </w:p>
    <w:p>
      <w:pPr>
        <w:pStyle w:val="Definition"/>
      </w:pPr>
      <w:r>
        <w:t xml:space="preserve">The grounds that justify a belief or inference, with their proper scope. Conceptual clarification, metaphysical argument, historical testimony, empirical evidence, and revelation contribute different kinds of support. Warrant concerns responsible belief; truth concerns what actually obtains. An argument needs to show why its evidence or premises support its particular conclusion.</w:t>
      </w:r>
    </w:p>
    <w:p>
      <w:pPr>
        <w:pStyle w:val="DefinitionTerm"/>
      </w:pPr>
      <w:hyperlink r:id="rId44">
        <w:r>
          <w:rPr>
            <w:rStyle w:val="Hyperlink"/>
          </w:rPr>
          <w:t xml:space="preserve">Relational account of divine action</w:t>
        </w:r>
      </w:hyperlink>
    </w:p>
    <w:p>
      <w:pPr>
        <w:pStyle w:val="Definition"/>
      </w:pPr>
      <w:r>
        <w:t xml:space="preserve">The constructive proposal that different complete facts of God intentionally producing different effects can be real without requiring different intrinsic divine actualities. Terminus means the effect toward which the action is directed, not a new item added to God. This proposal must explain authorship and intentional direction; simply describing the result as relational or extrinsic does not establish the account.</w:t>
      </w:r>
    </w:p>
    <w:p>
      <w:pPr>
        <w:pStyle w:val="DefinitionTerm"/>
      </w:pPr>
      <w:hyperlink r:id="rId45">
        <w:r>
          <w:rPr>
            <w:rStyle w:val="Hyperlink"/>
          </w:rPr>
          <w:t xml:space="preserve">Unreceived determinacy</w:t>
        </w:r>
      </w:hyperlink>
    </w:p>
    <w:p>
      <w:pPr>
        <w:pStyle w:val="Definition"/>
      </w:pPr>
      <w:r>
        <w:t xml:space="preserve">Being genuinely and intelligibly thus without receiving the actuality by which one is so from a more basic determining principle. The phrase organizes the project's account of divine fullness; it is not a newly demonstrated primitive or a seventh proof of simplicity. Essential perfections, revealed personal origins, and freely specified outward acts retain different explanatory requirements.</w:t>
      </w:r>
    </w:p>
    <w:p>
      <w:pPr>
        <w:pStyle w:val="DefinitionTerm"/>
      </w:pPr>
      <w:hyperlink r:id="rId46">
        <w:r>
          <w:rPr>
            <w:rStyle w:val="Hyperlink"/>
          </w:rPr>
          <w:t xml:space="preserve">Plenitude</w:t>
        </w:r>
      </w:hyperlink>
    </w:p>
    <w:p>
      <w:pPr>
        <w:pStyle w:val="Definition"/>
      </w:pPr>
      <w:r>
        <w:t xml:space="preserve">Positive fullness of actuality and perfection without completion by something more basic or by created manifestation. Plenitude is not an inventory of added attributes and not an indeterminate blank. Which positive perfections belong to God requires independent argument; excluding parts cannot manufacture wisdom or goodness. Nor does fullness alone establish that communication is free rather than necessary.</w:t>
      </w:r>
    </w:p>
    <w:p>
      <w:pPr>
        <w:pStyle w:val="DefinitionTerm"/>
      </w:pPr>
      <w:hyperlink r:id="rId47">
        <w:r>
          <w:rPr>
            <w:rStyle w:val="Hyperlink"/>
          </w:rPr>
          <w:t xml:space="preserve">Privation</w:t>
        </w:r>
      </w:hyperlink>
    </w:p>
    <w:p>
      <w:pPr>
        <w:pStyle w:val="Definition"/>
      </w:pPr>
      <w:r>
        <w:t xml:space="preserve">The absence of a good or order that ought to belong to a subject, such as impaired sight in an eye. Mere non-possession is not enough: a stone's not seeing is not blindness. The account of evil as privation must identify the missing fitting good and responsibility for the disorder; saying lack alone neither explains suffering nor makes the harm unreal.</w:t>
      </w:r>
    </w:p>
    <w:p>
      <w:pPr>
        <w:pStyle w:val="DefinitionTerm"/>
      </w:pPr>
      <w:hyperlink r:id="rId48">
        <w:r>
          <w:rPr>
            <w:rStyle w:val="Hyperlink"/>
          </w:rPr>
          <w:t xml:space="preserve">Constitutive finite conditions</w:t>
        </w:r>
      </w:hyperlink>
    </w:p>
    <w:p>
      <w:pPr>
        <w:pStyle w:val="Definition"/>
      </w:pPr>
      <w:r>
        <w:t xml:space="preserve">Finite conditions can help make a good the particular good it is: melody needs succession, and fidelity needs a history. These differ from defects that obstruct a good and from adverse occasions to which a good response is made. Removing distortion improves a melody; abolishing succession abolishes that melody. Likewise, courage's goodness does not justify creating danger or suffering.</w:t>
      </w:r>
    </w:p>
    <w:p>
      <w:pPr>
        <w:pStyle w:val="DefinitionTerm"/>
      </w:pPr>
      <w:hyperlink r:id="rId49">
        <w:r>
          <w:rPr>
            <w:rStyle w:val="Hyperlink"/>
          </w:rPr>
          <w:t xml:space="preserve">Communion</w:t>
        </w:r>
      </w:hyperlink>
    </w:p>
    <w:p>
      <w:pPr>
        <w:pStyle w:val="Definition"/>
      </w:pPr>
      <w:r>
        <w:t xml:space="preserve">Shared life through knowledge and love among genuinely distinct persons. More than resemblance, proximity, or causal dependence, communion requires the other to remain someone who can be known and loved. General metaphysics can clarify this non-absorptive structure; Christian revelation supplies the promised communion with God and its supernatural end. The recipient's fulfillment supplies no missing completion in God.</w:t>
      </w:r>
    </w:p>
    <w:p>
      <w:pPr>
        <w:pStyle w:val="DefinitionTerm"/>
      </w:pPr>
      <w:hyperlink r:id="rId50">
        <w:r>
          <w:rPr>
            <w:rStyle w:val="Hyperlink"/>
          </w:rPr>
          <w:t xml:space="preserve">Primitive</w:t>
        </w:r>
      </w:hyperlink>
    </w:p>
    <w:p>
      <w:pPr>
        <w:pStyle w:val="Definition"/>
      </w:pPr>
      <w:r>
        <w:t xml:space="preserve">A notion or distinction treated as not reduced to other terms within the proposed explanatory system. Primitive does not mean chronologically first in learning, self-evident, or immune to criticism. A richer definition can conceal several commitments in one word, so the project tests information lost by reduction rather than counting words and declaring a uniquely smallest metaphysics.</w:t>
      </w:r>
    </w:p>
    <w:p>
      <w:pPr>
        <w:pStyle w:val="DefinitionTerm"/>
      </w:pPr>
      <w:hyperlink r:id="rId51">
        <w:r>
          <w:rPr>
            <w:rStyle w:val="Hyperlink"/>
          </w:rPr>
          <w:t xml:space="preserve">Deletion and countermodel tests</w:t>
        </w:r>
      </w:hyperlink>
    </w:p>
    <w:p>
      <w:pPr>
        <w:pStyle w:val="Definition"/>
      </w:pPr>
      <w:r>
        <w:t xml:space="preserve">A deletion test removes a proposed premise and asks which explanations are lost. An independence countermodel satisfies the remaining formal assumptions while denying that premise or its target conclusion. Such a model demonstrates a logical limitation relative to the specified interpretation; it does not automatically establish a philosophically coherent rival in every respect. Programmed dependency explorers track listed arguments, not every possible proof.</w:t>
      </w:r>
    </w:p>
    <w:p>
      <w:pPr>
        <w:pStyle w:val="DefinitionTerm"/>
      </w:pPr>
      <w:hyperlink r:id="rId52">
        <w:r>
          <w:rPr>
            <w:rStyle w:val="Hyperlink"/>
          </w:rPr>
          <w:t xml:space="preserve">Mixed relations</w:t>
        </w:r>
      </w:hyperlink>
    </w:p>
    <w:p>
      <w:pPr>
        <w:pStyle w:val="Definition"/>
      </w:pPr>
      <w:r>
        <w:t xml:space="preserve">In the Thomistic account, the creature’s dependence is a real relation in the creature, while God’s being Creator adds no corresponding relational accident to God. The divine relation is called a relation of reason grounded in the real effect. This does not make divine causing imaginary. That classification requires its relational ontology; asymmetric dependence alone does not establish it.</w:t>
      </w:r>
    </w:p>
    <w:p>
      <w:pPr>
        <w:pStyle w:val="DefinitionTerm"/>
      </w:pPr>
      <w:hyperlink r:id="rId53">
        <w:r>
          <w:rPr>
            <w:rStyle w:val="Hyperlink"/>
          </w:rPr>
          <w:t xml:space="preserve">Pure perfection</w:t>
        </w:r>
      </w:hyperlink>
    </w:p>
    <w:p>
      <w:pPr>
        <w:pStyle w:val="Definition"/>
      </w:pPr>
      <w:r>
        <w:t xml:space="preserve">A proposed positive excellence whose content does not as such include defect or receptive limitation, such as understanding considered apart from learning. Identifying such content is a philosophical task, not an automatic permission to transfer a whole creaturely description into God. Courage includes a response to danger, for example; its finite circumstances must not simply be attributed to the source.</w:t>
      </w:r>
    </w:p>
    <w:p>
      <w:pPr>
        <w:pStyle w:val="FirstParagraph"/>
      </w:pPr>
      <w:hyperlink r:id="rId54">
        <w:r>
          <w:rPr>
            <w:rStyle w:val="Hyperlink"/>
          </w:rPr>
          <w:t xml:space="preserve">Browse the complete glossary across both projects →</w:t>
        </w:r>
      </w:hyperlink>
    </w:p>
    <w:p>
      <w:pPr>
        <w:pStyle w:val="BodyText"/>
      </w:pPr>
      <w:r>
        <w:t xml:space="preserve">Look up another word</w:t>
      </w:r>
    </w:p>
    <w:p>
      <w:pPr>
        <w:pStyle w:val="BodyText"/>
      </w:pPr>
      <w:hyperlink r:id="rId55">
        <w:r>
          <w:rPr>
            <w:rStyle w:val="Hyperlink"/>
          </w:rPr>
          <w:t xml:space="preserve">Search this phrase across both projects →</w:t>
        </w:r>
      </w:hyperlink>
    </w:p>
    <w:bookmarkEnd w:id="56"/>
    <w:p>
      <w:pPr>
        <w:pStyle w:val="BodyText"/>
      </w:pPr>
      <w:r>
        <w:t xml:space="preserve">00 / CONTEXT</w:t>
      </w:r>
    </w:p>
    <w:bookmarkStart w:id="57" w:name="divine-action-and-real-difference"/>
    <w:p>
      <w:pPr>
        <w:pStyle w:val="Heading2"/>
      </w:pPr>
      <w:r>
        <w:t xml:space="preserve">Divine action and real difference</w:t>
      </w:r>
    </w:p>
    <w:p>
      <w:pPr>
        <w:pStyle w:val="FirstParagraph"/>
      </w:pPr>
      <w:r>
        <w:t xml:space="preserve">How can created outcomes and divine intentions differ without making God dependent on creation?</w:t>
      </w:r>
    </w:p>
    <w:bookmarkEnd w:id="57"/>
    <w:p>
      <w:pPr>
        <w:pStyle w:val="BodyText"/>
      </w:pPr>
      <w:r>
        <w:t xml:space="preserve">CONSTRUCTIVE CONTINUATION</w:t>
      </w:r>
    </w:p>
    <w:p>
      <w:pPr>
        <w:pStyle w:val="BodyText"/>
      </w:pPr>
      <w:hyperlink r:id="rId58">
        <w:r>
          <w:rPr>
            <w:rStyle w:val="Hyperlink"/>
          </w:rPr>
          <w:t xml:space="preserve">Part I</w:t>
        </w:r>
      </w:hyperlink>
      <w:r>
        <w:t xml:space="preserve"> </w:t>
      </w:r>
      <w:r>
        <w:t xml:space="preserve">developed a conditional grammar of</w:t>
      </w:r>
      <w:r>
        <w:t xml:space="preserve"> </w:t>
      </w:r>
      <w:hyperlink r:id="rId30">
        <w:r>
          <w:rPr>
            <w:rStyle w:val="Hyperlink"/>
          </w:rPr>
          <w:t xml:space="preserve">participation</w:t>
        </w:r>
      </w:hyperlink>
      <w:r>
        <w:t xml:space="preserve">: finite creatures can depend upon and manifest an underived source without partitioning, exhausting, or completing it.</w:t>
      </w:r>
      <w:r>
        <w:t xml:space="preserve"> </w:t>
      </w:r>
      <w:hyperlink r:id="rId59">
        <w:r>
          <w:rPr>
            <w:rStyle w:val="Hyperlink"/>
          </w:rPr>
          <w:t xml:space="preserve">Part II</w:t>
        </w:r>
      </w:hyperlink>
      <w:r>
        <w:t xml:space="preserve"> </w:t>
      </w:r>
      <w:r>
        <w:t xml:space="preserve">separated the further arguments needed for simplicity, genuine alternatives, intelligent agency, and knowledge.</w:t>
      </w:r>
      <w:r>
        <w:t xml:space="preserve"> </w:t>
      </w:r>
      <w:hyperlink r:id="rId60">
        <w:r>
          <w:rPr>
            <w:rStyle w:val="Hyperlink"/>
          </w:rPr>
          <w:t xml:space="preserve">Inexhaustibility</w:t>
        </w:r>
      </w:hyperlink>
      <w:r>
        <w:t xml:space="preserve"> </w:t>
      </w:r>
      <w:r>
        <w:t xml:space="preserve">alone establishes none of those stronger claims.</w:t>
      </w:r>
    </w:p>
    <w:p>
      <w:pPr>
        <w:pStyle w:val="BodyText"/>
      </w:pPr>
      <w:r>
        <w:t xml:space="preserve">This page asks how creation can be an actual, intentional action of God: not merely something that happens while God possesses the power to cause it. Its central distinction is simple:</w:t>
      </w:r>
      <w:r>
        <w:t xml:space="preserve"> </w:t>
      </w:r>
      <w:r>
        <w:rPr>
          <w:b/>
          <w:bCs/>
        </w:rPr>
        <w:t xml:space="preserve">being determinate is not the same as being made determinate by something else.</w:t>
      </w:r>
      <w:r>
        <w:t xml:space="preserve"> </w:t>
      </w:r>
      <w:r>
        <w:t xml:space="preserve">An underived source need not be featureless. But calling its action determinate does not yet explain why it is this action rather than another.</w:t>
      </w:r>
    </w:p>
    <w:p>
      <w:pPr>
        <w:pStyle w:val="BlockText"/>
      </w:pPr>
      <w:r>
        <w:t xml:space="preserve">How can God freely and knowingly create this world rather than another while God’s intrinsic actuality, his own being, remains the same across those alternatives?</w:t>
      </w:r>
    </w:p>
    <w:p>
      <w:pPr>
        <w:pStyle w:val="FirstParagraph"/>
      </w:pPr>
      <w:r>
        <w:t xml:space="preserve">We distinguish what realizes a difference, what explains it, what could have differed, how it becomes known, and what good it fulfills. Participation connects those questions through real received possession; it does not answer all of them by itself. The underived source and its</w:t>
      </w:r>
      <w:r>
        <w:t xml:space="preserve"> </w:t>
      </w:r>
      <w:hyperlink r:id="rId38">
        <w:r>
          <w:rPr>
            <w:rStyle w:val="Hyperlink"/>
          </w:rPr>
          <w:t xml:space="preserve">intrinsic invariance</w:t>
        </w:r>
      </w:hyperlink>
      <w:r>
        <w:t xml:space="preserve"> </w:t>
      </w:r>
      <w:r>
        <w:t xml:space="preserve">remain independently argued commitments. The answer developed here is a constructive proposal, not a seventh proof of simplicity or a deduction of Christianity.</w:t>
      </w:r>
    </w:p>
    <w:p>
      <w:pPr>
        <w:pStyle w:val="BodyText"/>
      </w:pPr>
      <w:r>
        <w:t xml:space="preserve">01 / THE QUESTION</w:t>
      </w:r>
    </w:p>
    <w:bookmarkStart w:id="61" w:name="what-differs-and-what-explains-it"/>
    <w:p>
      <w:pPr>
        <w:pStyle w:val="Heading2"/>
      </w:pPr>
      <w:r>
        <w:t xml:space="preserve">What differs, and what explains it?</w:t>
      </w:r>
    </w:p>
    <w:p>
      <w:pPr>
        <w:pStyle w:val="FirstParagraph"/>
      </w:pPr>
      <w:r>
        <w:t xml:space="preserve">A difference in meaning, an intrinsic constituent, and a real relation require different explanations.</w:t>
      </w:r>
    </w:p>
    <w:bookmarkEnd w:id="61"/>
    <w:p>
      <w:pPr>
        <w:pStyle w:val="BodyText"/>
      </w:pPr>
      <w:r>
        <w:t xml:space="preserve">A METHOD FOR TESTING EXPLANATIONS</w:t>
      </w:r>
    </w:p>
    <w:p>
      <w:pPr>
        <w:pStyle w:val="BodyText"/>
      </w:pPr>
      <w:r>
        <w:t xml:space="preserve">Ask four questions:</w:t>
      </w:r>
      <w:r>
        <w:t xml:space="preserve"> </w:t>
      </w:r>
      <w:r>
        <w:rPr>
          <w:b/>
          <w:bCs/>
        </w:rPr>
        <w:t xml:space="preserve">What differs? Whose feature or relationship is it? What explains it? How could it be known?</w:t>
      </w:r>
      <w:r>
        <w:t xml:space="preserve"> </w:t>
      </w:r>
      <w:r>
        <w:t xml:space="preserve">A wax impression has a shape. A giver has an intention. A gift enters a relationship. A reader understands a</w:t>
      </w:r>
      <w:r>
        <w:t xml:space="preserve"> </w:t>
      </w:r>
      <w:hyperlink r:id="rId62">
        <w:r>
          <w:rPr>
            <w:rStyle w:val="Hyperlink"/>
          </w:rPr>
          <w:t xml:space="preserve">sign</w:t>
        </w:r>
      </w:hyperlink>
      <w:r>
        <w:t xml:space="preserve">. Explaining one fact does not automatically explain the others.</w:t>
      </w:r>
    </w:p>
    <w:p>
      <w:pPr>
        <w:pStyle w:val="BodyText"/>
      </w:pPr>
      <w:r>
        <w:t xml:space="preserve">Different predicates need not require different concrete realizers. Wisdom and power differ in meaning; it does not follow merely from that difference that they are realized by distinct parts in God. This blocks an invalid inference, rather than proving that one</w:t>
      </w:r>
      <w:r>
        <w:t xml:space="preserve"> </w:t>
      </w:r>
      <w:hyperlink r:id="rId63">
        <w:r>
          <w:rPr>
            <w:rStyle w:val="Hyperlink"/>
          </w:rPr>
          <w:t xml:space="preserve">actuality</w:t>
        </w:r>
      </w:hyperlink>
      <w:r>
        <w:t xml:space="preserve"> </w:t>
      </w:r>
      <w:r>
        <w:t xml:space="preserve">does realize every divine perfection. That positive claim needs an account of the perfections and their compatible</w:t>
      </w:r>
      <w:r>
        <w:t xml:space="preserve"> </w:t>
      </w:r>
      <w:hyperlink r:id="rId23">
        <w:r>
          <w:rPr>
            <w:rStyle w:val="Hyperlink"/>
          </w:rPr>
          <w:t xml:space="preserve">realization</w:t>
        </w:r>
      </w:hyperlink>
      <w:r>
        <w:t xml:space="preserve">.</w:t>
      </w:r>
    </w:p>
    <w:p>
      <w:pPr>
        <w:pStyle w:val="BodyText"/>
      </w:pPr>
      <w:r>
        <w:t xml:space="preserve">A real relation is likewise more than a convenient description. A gift’s direction toward this recipient can belong to the full action without the recipient supplying the giver with its power. But it remains necessary to distinguish the action’s identity, its explanation, and the agent’s control. A difference in recipients alone cannot explain different intentions.</w:t>
      </w:r>
    </w:p>
    <w:p>
      <w:pPr>
        <w:pStyle w:val="BodyText"/>
      </w:pPr>
      <w:r>
        <w:rPr>
          <w:i/>
          <w:iCs/>
        </w:rPr>
        <w:t xml:space="preserve">Intrinsic</w:t>
      </w:r>
      <w:r>
        <w:t xml:space="preserve"> </w:t>
      </w:r>
      <w:r>
        <w:t xml:space="preserve">concerns something’s own being;</w:t>
      </w:r>
      <w:r>
        <w:t xml:space="preserve"> </w:t>
      </w:r>
      <w:r>
        <w:rPr>
          <w:i/>
          <w:iCs/>
        </w:rPr>
        <w:t xml:space="preserve">relational</w:t>
      </w:r>
      <w:r>
        <w:t xml:space="preserve"> </w:t>
      </w:r>
      <w:r>
        <w:t xml:space="preserve">concerns it in relation to another. A</w:t>
      </w:r>
      <w:r>
        <w:t xml:space="preserve"> </w:t>
      </w:r>
      <w:hyperlink r:id="rId50">
        <w:r>
          <w:rPr>
            <w:rStyle w:val="Hyperlink"/>
          </w:rPr>
          <w:t xml:space="preserve">primitive</w:t>
        </w:r>
      </w:hyperlink>
      <w:r>
        <w:t xml:space="preserve"> </w:t>
      </w:r>
      <w:r>
        <w:t xml:space="preserve">intrinsic difference, if coherent, need not automatically be a proper part. A relational difference need not automatically be intentional. The method therefore classifies differences before drawing conclusions from them; it does not make either category harmless by definition.</w:t>
      </w:r>
    </w:p>
    <w:p>
      <w:pPr>
        <w:pStyle w:val="BodyText"/>
      </w:pPr>
      <w:r>
        <w:t xml:space="preserve">02 / CASE EXPLORER</w:t>
      </w:r>
    </w:p>
    <w:bookmarkStart w:id="64" w:name="change-the-facts-not-just-the-labels"/>
    <w:p>
      <w:pPr>
        <w:pStyle w:val="Heading2"/>
      </w:pPr>
      <w:r>
        <w:t xml:space="preserve">Change the facts, not just the labels</w:t>
      </w:r>
    </w:p>
    <w:p>
      <w:pPr>
        <w:pStyle w:val="FirstParagraph"/>
      </w:pPr>
      <w:r>
        <w:t xml:space="preserve">Six comparisons expose what an explanation must supply.</w:t>
      </w:r>
    </w:p>
    <w:bookmarkEnd w:id="64"/>
    <w:p>
      <w:pPr>
        <w:pStyle w:val="BodyText"/>
      </w:pPr>
      <w:r>
        <w:t xml:space="preserve">EXAMPLE INSPECTOR · NOT A PROOF</w:t>
      </w:r>
    </w:p>
    <w:p>
      <w:pPr>
        <w:pStyle w:val="BodyText"/>
      </w:pPr>
      <w:r>
        <w:t xml:space="preserve">The finite cases establish distinctions, rather than proving that God remains unchanged. A lamp can keep the same radiant power while other properties change; a human’s intentions can differ intrinsically. The advanced case expressly assumes a disputed</w:t>
      </w:r>
      <w:r>
        <w:t xml:space="preserve"> </w:t>
      </w:r>
      <w:hyperlink r:id="rId44">
        <w:r>
          <w:rPr>
            <w:rStyle w:val="Hyperlink"/>
          </w:rPr>
          <w:t xml:space="preserve">relational account of divine action</w:t>
        </w:r>
      </w:hyperlink>
      <w:r>
        <w:t xml:space="preserve"> </w:t>
      </w:r>
      <w:r>
        <w:t xml:space="preserve">and shows what remains to be defended.</w:t>
      </w:r>
    </w:p>
    <w:p>
      <w:pPr>
        <w:pStyle w:val="BodyText"/>
      </w:pPr>
      <w:r>
        <w:t xml:space="preserve">The complete static record of all six cases and sixteen variants follows in the interactive appendix.</w:t>
      </w:r>
    </w:p>
    <w:p>
      <w:pPr>
        <w:pStyle w:val="BodyText"/>
      </w:pPr>
      <w:r>
        <w:t xml:space="preserve">03 / POSITIVE ARGUMENT</w:t>
      </w:r>
    </w:p>
    <w:bookmarkStart w:id="65" w:name="an-action-is-more-than-its-outcome"/>
    <w:p>
      <w:pPr>
        <w:pStyle w:val="Heading2"/>
      </w:pPr>
      <w:r>
        <w:t xml:space="preserve">An action is more than its outcome</w:t>
      </w:r>
    </w:p>
    <w:p>
      <w:pPr>
        <w:pStyle w:val="FirstParagraph"/>
      </w:pPr>
      <w:r>
        <w:t xml:space="preserve">The same physical result can serve different intentions. Having a power does not mean using it.</w:t>
      </w:r>
    </w:p>
    <w:bookmarkEnd w:id="65"/>
    <w:p>
      <w:pPr>
        <w:pStyle w:val="BodyText"/>
      </w:pPr>
      <w:r>
        <w:t xml:space="preserve">COMPARATIVE ARGUMENT + CONDITIONAL PROPOSAL</w:t>
      </w:r>
    </w:p>
    <w:p>
      <w:pPr>
        <w:pStyle w:val="BodyText"/>
      </w:pPr>
      <w:r>
        <w:rPr>
          <w:b/>
          <w:bCs/>
        </w:rPr>
        <w:t xml:space="preserve">1.</w:t>
      </w:r>
      <w:r>
        <w:t xml:space="preserve"> </w:t>
      </w:r>
      <w:r>
        <w:t xml:space="preserve">A blanket can relieve cold through an intentional gift or an accidental arrival. Benefit alone does not establish that someone intended it.</w:t>
      </w:r>
    </w:p>
    <w:p>
      <w:pPr>
        <w:pStyle w:val="BodyText"/>
      </w:pPr>
      <w:r>
        <w:rPr>
          <w:b/>
          <w:bCs/>
        </w:rPr>
        <w:t xml:space="preserve">2.</w:t>
      </w:r>
      <w:r>
        <w:t xml:space="preserve"> </w:t>
      </w:r>
      <w:r>
        <w:t xml:space="preserve">Two gifts with the same physical result can differ: one relieves cold; another also acknowledges dignity. The outcome does not tell us the whole intention.</w:t>
      </w:r>
    </w:p>
    <w:p>
      <w:pPr>
        <w:pStyle w:val="BodyText"/>
      </w:pPr>
      <w:r>
        <w:rPr>
          <w:b/>
          <w:bCs/>
        </w:rPr>
        <w:t xml:space="preserve">3.</w:t>
      </w:r>
      <w:r>
        <w:t xml:space="preserve"> </w:t>
      </w:r>
      <w:r>
        <w:t xml:space="preserve">A person can possess a capacity without using it. Deliberately refraining requires capacity, control, and purpose; an absent effect establishes none of these.</w:t>
      </w:r>
    </w:p>
    <w:p>
      <w:pPr>
        <w:pStyle w:val="BodyText"/>
      </w:pPr>
      <w:r>
        <w:rPr>
          <w:b/>
          <w:bCs/>
        </w:rPr>
        <w:t xml:space="preserve">4.</w:t>
      </w:r>
      <w:r>
        <w:t xml:space="preserve"> </w:t>
      </w:r>
      <w:r>
        <w:t xml:space="preserve">A benefit can be real before recognition. Conversely, a true belief can be a lucky guess. Receiving something and knowing it have different conditions.</w:t>
      </w:r>
    </w:p>
    <w:p>
      <w:pPr>
        <w:pStyle w:val="BodyText"/>
      </w:pPr>
      <w:r>
        <w:t xml:space="preserve">An adequate account preserves</w:t>
      </w:r>
      <w:r>
        <w:t xml:space="preserve"> </w:t>
      </w:r>
      <w:r>
        <w:rPr>
          <w:b/>
          <w:bCs/>
        </w:rPr>
        <w:t xml:space="preserve">what is produced, what the agent intends and does, what the recipient receives, and how someone knows it</w:t>
      </w:r>
      <w:r>
        <w:t xml:space="preserve">. The examples expose these different explanatory jobs. They do not show that a finite agent’s changing psychology can be transferred to God.</w:t>
      </w:r>
    </w:p>
    <w:p>
      <w:pPr>
        <w:pStyle w:val="BodyText"/>
      </w:pPr>
      <w:r>
        <w:t xml:space="preserve">The philosophical opening is a distinction between the agent’s intrinsic power and the complete intentional action. If an action’s direction is genuinely originated and controlled by the agent, a difference in that direction need not be an actuality supplied by its effect. The action can explain the effect while the effect helps specify which complete action occurred.</w:t>
      </w:r>
      <w:r>
        <w:t xml:space="preserve"> </w:t>
      </w:r>
      <w:r>
        <w:rPr>
          <w:b/>
          <w:bCs/>
        </w:rPr>
        <w:t xml:space="preserve">Specification and</w:t>
      </w:r>
      <w:r>
        <w:rPr>
          <w:b/>
          <w:bCs/>
        </w:rPr>
        <w:t xml:space="preserve"> </w:t>
      </w:r>
      <w:hyperlink r:id="rId66">
        <w:r>
          <w:rPr>
            <w:rStyle w:val="Hyperlink"/>
            <w:b/>
            <w:bCs/>
          </w:rPr>
          <w:t xml:space="preserve">productive causation</w:t>
        </w:r>
      </w:hyperlink>
      <w:r>
        <w:rPr>
          <w:b/>
          <w:bCs/>
        </w:rPr>
        <w:t xml:space="preserve"> </w:t>
      </w:r>
      <w:r>
        <w:rPr>
          <w:b/>
          <w:bCs/>
        </w:rPr>
        <w:t xml:space="preserve">run in different directions.</w:t>
      </w:r>
    </w:p>
    <w:p>
      <w:pPr>
        <w:pStyle w:val="BodyText"/>
      </w:pPr>
      <w:r>
        <w:t xml:space="preserve">This establishes a candidate structure, not its divine realization. The remaining bridge is substantial: an intelligent source must be able to originate and know such a determinate direction without acquiring a new intrinsic state. The strongest rival grants libertarian agency but locates alternative choices in different intrinsic states, even while denying that those states are proper parts.</w:t>
      </w:r>
    </w:p>
    <w:p>
      <w:pPr>
        <w:pStyle w:val="BodyText"/>
      </w:pPr>
      <w:r>
        <w:t xml:space="preserve">04 / DIVINE ACTION</w:t>
      </w:r>
    </w:p>
    <w:bookmarkStart w:id="68" w:name="a-power-is-not-yet-a-particular-action"/>
    <w:p>
      <w:pPr>
        <w:pStyle w:val="Heading2"/>
      </w:pPr>
      <w:r>
        <w:t xml:space="preserve">A power is not yet a particular action</w:t>
      </w:r>
    </w:p>
    <w:p>
      <w:pPr>
        <w:pStyle w:val="FirstParagraph"/>
      </w:pPr>
      <w:r>
        <w:t xml:space="preserve">A complete account must explain alternatives,</w:t>
      </w:r>
      <w:r>
        <w:t xml:space="preserve"> </w:t>
      </w:r>
      <w:hyperlink r:id="rId67">
        <w:r>
          <w:rPr>
            <w:rStyle w:val="Hyperlink"/>
          </w:rPr>
          <w:t xml:space="preserve">reasons</w:t>
        </w:r>
      </w:hyperlink>
      <w:r>
        <w:t xml:space="preserve">, choice, and successful production.</w:t>
      </w:r>
    </w:p>
    <w:bookmarkEnd w:id="68"/>
    <w:p>
      <w:pPr>
        <w:pStyle w:val="BodyText"/>
      </w:pPr>
      <w:r>
        <w:t xml:space="preserve">DISPUTED CONSTRUCTIVE PROPOSAL</w:t>
      </w:r>
    </w:p>
    <w:p>
      <w:pPr>
        <w:pStyle w:val="BodyText"/>
      </w:pPr>
      <w:r>
        <w:t xml:space="preserve">Four steps must remain distinct.</w:t>
      </w:r>
      <w:r>
        <w:t xml:space="preserve"> </w:t>
      </w:r>
      <w:r>
        <w:rPr>
          <w:b/>
          <w:bCs/>
        </w:rPr>
        <w:t xml:space="preserve">Possibility</w:t>
      </w:r>
      <w:r>
        <w:t xml:space="preserve"> </w:t>
      </w:r>
      <w:r>
        <w:t xml:space="preserve">identifies real alternatives;</w:t>
      </w:r>
      <w:r>
        <w:t xml:space="preserve"> </w:t>
      </w:r>
      <w:r>
        <w:rPr>
          <w:b/>
          <w:bCs/>
        </w:rPr>
        <w:t xml:space="preserve">reasons</w:t>
      </w:r>
      <w:r>
        <w:t xml:space="preserve"> </w:t>
      </w:r>
      <w:r>
        <w:t xml:space="preserve">make an alternative intelligible or good;</w:t>
      </w:r>
      <w:r>
        <w:t xml:space="preserve"> </w:t>
      </w:r>
      <w:r>
        <w:rPr>
          <w:b/>
          <w:bCs/>
        </w:rPr>
        <w:t xml:space="preserve">choice</w:t>
      </w:r>
      <w:r>
        <w:t xml:space="preserve"> </w:t>
      </w:r>
      <w:r>
        <w:t xml:space="preserve">explains the agent’s actual direction toward it;</w:t>
      </w:r>
      <w:r>
        <w:t xml:space="preserve"> </w:t>
      </w:r>
      <w:hyperlink r:id="rId40">
        <w:r>
          <w:rPr>
            <w:rStyle w:val="Hyperlink"/>
            <w:b/>
            <w:bCs/>
          </w:rPr>
          <w:t xml:space="preserve">efficacy</w:t>
        </w:r>
      </w:hyperlink>
      <w:r>
        <w:t xml:space="preserve"> </w:t>
      </w:r>
      <w:r>
        <w:t xml:space="preserve">explains its realization. An indeterminate process can branch without choosing. A rational plan can remain unexecuted. Divine agency requires intelligent authorship as well as power.</w:t>
      </w:r>
    </w:p>
    <w:p>
      <w:pPr>
        <w:pStyle w:val="BodyText"/>
      </w:pPr>
      <w:r>
        <w:t xml:space="preserve">The proposed bridge is that</w:t>
      </w:r>
      <w:r>
        <w:t xml:space="preserve"> </w:t>
      </w:r>
      <w:r>
        <w:rPr>
          <w:b/>
          <w:bCs/>
        </w:rPr>
        <w:t xml:space="preserve">a complete intentional action need not be fixed by the agent’s intrinsic state alone, provided its direction is a real relation originated and controlled by that agent</w:t>
      </w:r>
      <w:r>
        <w:t xml:space="preserve">. God’s being would remain intrinsically complete, while the full fact that God freely creates this world would include a contingent direction toward this creation. This commits the account to a real intentional explanation; it cannot be satisfied by assigning different world labels to an invariant power.</w:t>
      </w:r>
    </w:p>
    <w:p>
      <w:pPr>
        <w:pStyle w:val="BodyText"/>
      </w:pPr>
      <w:r>
        <w:t xml:space="preserve">The motivation is that the complete identity of an action includes its intentional object and explanatory direction, not only a description of the agent in isolation. Requiring every such difference to be realized by a different intrinsic state is a substantive theory of intention, not a truth contained in the word “action.” Finite examples establish that explanatory and identifying relations can differ; they do not establish that divine intention is relational throughout.</w:t>
      </w:r>
    </w:p>
    <w:p>
      <w:pPr>
        <w:pStyle w:val="BodyText"/>
      </w:pPr>
      <w:r>
        <w:t xml:space="preserve">Reasons can explain a choice without uniquely necessitating it. The recipient’s possible good supplies a reason for generosity without supplying a need in God. The agent, rather than a prior selector or an impersonal lottery, originates the action for that reason. Whether this form of rational explanation is sufficient, and whether its intentional direction can remain relational throughout, are the two principal disputes.</w:t>
      </w:r>
    </w:p>
    <w:p>
      <w:pPr>
        <w:pStyle w:val="BodyText"/>
      </w:pPr>
      <w:hyperlink r:id="rId69">
        <w:r>
          <w:rPr>
            <w:rStyle w:val="Hyperlink"/>
          </w:rPr>
          <w:t xml:space="preserve">Modal collapse</w:t>
        </w:r>
      </w:hyperlink>
      <w:r>
        <w:t xml:space="preserve"> </w:t>
      </w:r>
      <w:r>
        <w:t xml:space="preserve">follows if God’s necessary</w:t>
      </w:r>
      <w:r>
        <w:t xml:space="preserve"> </w:t>
      </w:r>
      <w:hyperlink r:id="rId70">
        <w:r>
          <w:rPr>
            <w:rStyle w:val="Hyperlink"/>
          </w:rPr>
          <w:t xml:space="preserve">intrinsic actuality</w:t>
        </w:r>
      </w:hyperlink>
      <w:r>
        <w:t xml:space="preserve"> </w:t>
      </w:r>
      <w:r>
        <w:t xml:space="preserve">necessarily entails this complete efficacious intention. The proposal denies that further entailment.</w:t>
      </w:r>
      <w:r>
        <w:t xml:space="preserve"> </w:t>
      </w:r>
      <w:r>
        <w:rPr>
          <w:b/>
          <w:bCs/>
        </w:rPr>
        <w:t xml:space="preserve">Necessarily, if God efficaciously intends this creation, it exists; it does not follow that God necessarily so intends.</w:t>
      </w:r>
      <w:r>
        <w:t xml:space="preserve"> </w:t>
      </w:r>
      <w:r>
        <w:t xml:space="preserve">Denying the entailment blocks one inference to collapse. The positive agency bridge must still explain how the contingent intention belongs to God’s control.</w:t>
      </w:r>
    </w:p>
    <w:p>
      <w:pPr>
        <w:pStyle w:val="BodyText"/>
      </w:pPr>
      <w:r>
        <w:t xml:space="preserve">Including an effect in the full description of an action does not make it the cause of the intention. Conversely, saying only “God is Creator because a world exists” offers an outcome-dependent title without an account of choice. These two errors delimit the proposal.</w:t>
      </w:r>
    </w:p>
    <w:bookmarkStart w:id="71" w:name="the-notation-makes-no-extra-promise"/>
    <w:p>
      <w:pPr>
        <w:pStyle w:val="Heading3"/>
      </w:pPr>
      <w:r>
        <w:t xml:space="preserve">The notation makes no extra promise</w:t>
      </w:r>
    </w:p>
    <w:p>
      <w:pPr>
        <w:pStyle w:val="FirstParagraph"/>
      </w:pPr>
      <w:r>
        <w:rPr>
          <w:b/>
          <w:bCs/>
        </w:rPr>
        <w:t xml:space="preserve">S(g,e,p)</w:t>
      </w:r>
      <w:r>
        <w:t xml:space="preserve"> </w:t>
      </w:r>
      <w:r>
        <w:t xml:space="preserve">abbreviates: agent</w:t>
      </w:r>
      <w:r>
        <w:t xml:space="preserve"> </w:t>
      </w:r>
      <w:r>
        <w:rPr>
          <w:i/>
          <w:iCs/>
        </w:rPr>
        <w:t xml:space="preserve">g</w:t>
      </w:r>
      <w:r>
        <w:t xml:space="preserve"> </w:t>
      </w:r>
      <w:r>
        <w:t xml:space="preserve">actually performs and controls action</w:t>
      </w:r>
      <w:r>
        <w:t xml:space="preserve"> </w:t>
      </w:r>
      <w:r>
        <w:rPr>
          <w:i/>
          <w:iCs/>
        </w:rPr>
        <w:t xml:space="preserve">e</w:t>
      </w:r>
      <w:r>
        <w:t xml:space="preserve">, intending</w:t>
      </w:r>
      <w:r>
        <w:t xml:space="preserve"> </w:t>
      </w:r>
      <w:r>
        <w:rPr>
          <w:i/>
          <w:iCs/>
        </w:rPr>
        <w:t xml:space="preserve">p</w:t>
      </w:r>
      <w:r>
        <w:t xml:space="preserve">.</w:t>
      </w:r>
      <w:r>
        <w:t xml:space="preserve"> </w:t>
      </w:r>
      <w:r>
        <w:rPr>
          <w:b/>
          <w:bCs/>
        </w:rPr>
        <w:t xml:space="preserve">T(e,x)</w:t>
      </w:r>
      <w:r>
        <w:t xml:space="preserve"> </w:t>
      </w:r>
      <w:r>
        <w:t xml:space="preserve">says the action effectively produces</w:t>
      </w:r>
      <w:r>
        <w:t xml:space="preserve"> </w:t>
      </w:r>
      <w:r>
        <w:rPr>
          <w:i/>
          <w:iCs/>
        </w:rPr>
        <w:t xml:space="preserve">x</w:t>
      </w:r>
      <w:r>
        <w:t xml:space="preserve"> </w:t>
      </w:r>
      <w:r>
        <w:t xml:space="preserve">as intended. S records agency; it does not derive intelligence or freedom from existence. T records success; intention alone does not produce an outcome. Neither symbol explains the metaphysical possibility of the proposed intentional relation.</w:t>
      </w:r>
    </w:p>
    <w:bookmarkEnd w:id="71"/>
    <w:bookmarkStart w:id="72" w:name="the-no-creation-alternative"/>
    <w:p>
      <w:pPr>
        <w:pStyle w:val="Heading3"/>
      </w:pPr>
      <w:r>
        <w:t xml:space="preserve">The no-creation alternative</w:t>
      </w:r>
    </w:p>
    <w:p>
      <w:pPr>
        <w:pStyle w:val="FirstParagraph"/>
      </w:pPr>
      <w:r>
        <w:t xml:space="preserve">No creation means no created actuality, rather than “nothing” as an object God makes. Deliberate refraining must be possible if creation is gratuitous; non-exhaustion alone does not establish that possibility. It also does not erase the eternal personal life of Father, Son, and Spirit. Their relations are not contingent exercises of creative power.</w:t>
      </w:r>
    </w:p>
    <w:bookmarkEnd w:id="72"/>
    <w:p>
      <w:pPr>
        <w:pStyle w:val="BodyText"/>
      </w:pPr>
      <w:r>
        <w:t xml:space="preserve">05 / KNOWLEDGE</w:t>
      </w:r>
    </w:p>
    <w:bookmarkStart w:id="73" w:name="Xc2335a62c78f32a0be4bc81d2d466ab3219120d"/>
    <w:p>
      <w:pPr>
        <w:pStyle w:val="Heading2"/>
      </w:pPr>
      <w:r>
        <w:t xml:space="preserve">Knowing the actual without learning from it</w:t>
      </w:r>
    </w:p>
    <w:p>
      <w:pPr>
        <w:pStyle w:val="FirstParagraph"/>
      </w:pPr>
      <w:r>
        <w:t xml:space="preserve">A truth’s dependence on an event is not automatically the knower’s acquisition of a cognitive state.</w:t>
      </w:r>
    </w:p>
    <w:bookmarkEnd w:id="73"/>
    <w:p>
      <w:pPr>
        <w:pStyle w:val="BodyText"/>
      </w:pPr>
      <w:r>
        <w:t xml:space="preserve">PRODUCTIVE KNOWLEDGE + A FURTHER COGNITIVE BRIDGE</w:t>
      </w:r>
    </w:p>
    <w:p>
      <w:pPr>
        <w:pStyle w:val="BodyText"/>
      </w:pPr>
      <w:r>
        <w:t xml:space="preserve">Distinguish</w:t>
      </w:r>
      <w:r>
        <w:t xml:space="preserve"> </w:t>
      </w:r>
      <w:r>
        <w:rPr>
          <w:b/>
          <w:bCs/>
        </w:rPr>
        <w:t xml:space="preserve">a real received good, its meaningful expression, someone’s access to it, and warranted recognition</w:t>
      </w:r>
      <w:r>
        <w:t xml:space="preserve">. An unconscious patient can benefit from care; a meaningful sign can remain unread. A cause can sustain an event without thereby having cognitive acquaintance with it. Neither</w:t>
      </w:r>
      <w:r>
        <w:t xml:space="preserve"> </w:t>
      </w:r>
      <w:hyperlink r:id="rId29">
        <w:r>
          <w:rPr>
            <w:rStyle w:val="Hyperlink"/>
          </w:rPr>
          <w:t xml:space="preserve">reception</w:t>
        </w:r>
      </w:hyperlink>
      <w:r>
        <w:t xml:space="preserve"> </w:t>
      </w:r>
      <w:r>
        <w:t xml:space="preserve">nor causal intimacy establishes knowledge by itself.</w:t>
      </w:r>
    </w:p>
    <w:p>
      <w:pPr>
        <w:pStyle w:val="BodyText"/>
      </w:pPr>
      <w:r>
        <w:t xml:space="preserve">For effects fully specified by God’s efficacious intention, the positive proposal is</w:t>
      </w:r>
      <w:r>
        <w:t xml:space="preserve"> </w:t>
      </w:r>
      <w:hyperlink r:id="rId41">
        <w:r>
          <w:rPr>
            <w:rStyle w:val="Hyperlink"/>
          </w:rPr>
          <w:t xml:space="preserve">productive knowledge</w:t>
        </w:r>
      </w:hyperlink>
      <w:r>
        <w:t xml:space="preserve">. An intelligent source knows what it does through awareness of its actual controlled action and what that action infallibly produces. It need not inspect the result in order to learn whether its intention succeeded. This requires actual intention, adequate self-awareness, and transparency of the action’s efficacy. Knowing every possible plan does not yet identify the actual plan.</w:t>
      </w:r>
    </w:p>
    <w:p>
      <w:pPr>
        <w:pStyle w:val="BodyText"/>
      </w:pPr>
      <w:r>
        <w:t xml:space="preserve">The claim that a particular contingent choice actually occurs is true only if that choice occurs. But</w:t>
      </w:r>
      <w:r>
        <w:t xml:space="preserve"> </w:t>
      </w:r>
      <w:r>
        <w:rPr>
          <w:b/>
          <w:bCs/>
        </w:rPr>
        <w:t xml:space="preserve">truth conditions are not automatically cognitive actualizers</w:t>
      </w:r>
      <w:r>
        <w:t xml:space="preserve">: the fact that makes a statement true need not send information that completes God’s intellect. This distinguishes two explanatory arrows. It does not by itself show how an intrinsically invariant intellect knows different actual outcomes.</w:t>
      </w:r>
    </w:p>
    <w:p>
      <w:pPr>
        <w:pStyle w:val="BodyText"/>
      </w:pPr>
      <w:r>
        <w:t xml:space="preserve">Free secondary acts make the harder case. Sustaining a creature’s power is not the same as supplying its intention, and knowledge of God’s creative intention cannot simply stand in for knowledge of whatever the creature freely chooses. The proposed additional bridge is</w:t>
      </w:r>
      <w:r>
        <w:t xml:space="preserve"> </w:t>
      </w:r>
      <w:r>
        <w:rPr>
          <w:b/>
          <w:bCs/>
        </w:rPr>
        <w:t xml:space="preserve">direct, non-receptive awareness of actual finite acts</w:t>
      </w:r>
      <w:r>
        <w:t xml:space="preserve">: the underived intellect knows their determinate actuality without acquiring representations caused by them. This is a positive cognitive commitment, not a consequence of merely renaming causal presence as awareness.</w:t>
      </w:r>
    </w:p>
    <w:p>
      <w:pPr>
        <w:pStyle w:val="BodyText"/>
      </w:pPr>
      <w:r>
        <w:t xml:space="preserve">The bridge must cover the actual content of choices, omissions, and relations, while preserving their creaturely authorship. Foreknowledge further requires an account of access to temporal actuality;</w:t>
      </w:r>
      <w:r>
        <w:t xml:space="preserve"> </w:t>
      </w:r>
      <w:hyperlink r:id="rId42">
        <w:r>
          <w:rPr>
            <w:rStyle w:val="Hyperlink"/>
          </w:rPr>
          <w:t xml:space="preserve">factivity</w:t>
        </w:r>
      </w:hyperlink>
      <w:r>
        <w:t xml:space="preserve"> </w:t>
      </w:r>
      <w:r>
        <w:t xml:space="preserve">alone establishes no timeless standpoint. Comprehensive omniscience is received in Catholic theology. Its philosophical explanation remains conditional on these additional cognitive and temporal commitments.</w:t>
      </w:r>
    </w:p>
    <w:p>
      <w:pPr>
        <w:pStyle w:val="BodyText"/>
      </w:pPr>
      <w:r>
        <w:t xml:space="preserve">Knowing a wrongful intention is not intending its moral defect. An act’s positive actuality, the creature’s exercise, its disorder, God’s permission, and divine knowledge have different explanatory roles. A theory that treats them as one causation has lost the distinction it needed to preserve.</w:t>
      </w:r>
    </w:p>
    <w:p>
      <w:pPr>
        <w:pStyle w:val="BodyText"/>
      </w:pPr>
      <w:r>
        <w:t xml:space="preserve">06 / HISTORICAL RESOURCES</w:t>
      </w:r>
    </w:p>
    <w:bookmarkStart w:id="74" w:name="X77040adeb479227154b7d40a08c5c90c19086d9"/>
    <w:p>
      <w:pPr>
        <w:pStyle w:val="Heading2"/>
      </w:pPr>
      <w:r>
        <w:t xml:space="preserve">Different thinkers answer different questions</w:t>
      </w:r>
    </w:p>
    <w:p>
      <w:pPr>
        <w:pStyle w:val="FirstParagraph"/>
      </w:pPr>
      <w:r>
        <w:t xml:space="preserve">These are resources and critical interlocutors, not co-authors of a modern system.</w:t>
      </w:r>
    </w:p>
    <w:bookmarkEnd w:id="74"/>
    <w:p>
      <w:pPr>
        <w:pStyle w:val="BodyText"/>
      </w:pPr>
      <w:r>
        <w:t xml:space="preserve">CLAIM, INTERPRETATION, AND LIMIT KEPT DISTINCT</w:t>
      </w:r>
    </w:p>
    <w:p>
      <w:pPr>
        <w:pStyle w:val="BodyText"/>
      </w:pPr>
      <w:r>
        <w:t xml:space="preserve">Bonaventure</w:t>
      </w:r>
    </w:p>
    <w:bookmarkStart w:id="78" w:name="fullness-not-featurelessness"/>
    <w:p>
      <w:pPr>
        <w:pStyle w:val="Heading3"/>
      </w:pPr>
      <w:r>
        <w:t xml:space="preserve">Fullness, not featurelessness</w:t>
      </w:r>
    </w:p>
    <w:p>
      <w:pPr>
        <w:pStyle w:val="FirstParagraph"/>
      </w:pPr>
      <w:r>
        <w:t xml:space="preserve">Simplicity concerns the perfection by which the source is actual, not a poverty of intelligible content. A distinction by</w:t>
      </w:r>
      <w:r>
        <w:t xml:space="preserve"> </w:t>
      </w:r>
      <w:hyperlink r:id="rId75">
        <w:r>
          <w:rPr>
            <w:rStyle w:val="Hyperlink"/>
          </w:rPr>
          <w:t xml:space="preserve">personal origin</w:t>
        </w:r>
      </w:hyperlink>
      <w:r>
        <w:t xml:space="preserve"> </w:t>
      </w:r>
      <w:r>
        <w:t xml:space="preserve">is not the same as a difference produced by adding a constituent. Finite proportion can also contribute positively to a creature’s beauty.</w:t>
      </w:r>
    </w:p>
    <w:p>
      <w:pPr>
        <w:pStyle w:val="BlockText"/>
      </w:pPr>
      <w:r>
        <w:t xml:space="preserve">Where supreme simplicity is understood, supreme actuality must be understood.</w:t>
      </w:r>
    </w:p>
    <w:p>
      <w:pPr>
        <w:pStyle w:val="FirstParagraph"/>
      </w:pPr>
      <w:r>
        <w:t xml:space="preserve">I Sentences, q. 1, ad 1; inherited manuscript working translation.</w:t>
      </w:r>
    </w:p>
    <w:p>
      <w:pPr>
        <w:pStyle w:val="BodyText"/>
      </w:pPr>
      <w:r>
        <w:t xml:space="preserve">The communication argument here concerns the</w:t>
      </w:r>
      <w:r>
        <w:t xml:space="preserve"> </w:t>
      </w:r>
      <w:hyperlink r:id="rId76">
        <w:r>
          <w:rPr>
            <w:rStyle w:val="Hyperlink"/>
          </w:rPr>
          <w:t xml:space="preserve">Trinity</w:t>
        </w:r>
      </w:hyperlink>
      <w:r>
        <w:t xml:space="preserve">. It does not necessitate creation or demonstrate the proposed account of free divine action.</w:t>
      </w:r>
    </w:p>
    <w:p>
      <w:pPr>
        <w:pStyle w:val="BodyText"/>
      </w:pPr>
      <w:hyperlink r:id="rId77">
        <w:r>
          <w:rPr>
            <w:rStyle w:val="Hyperlink"/>
          </w:rPr>
          <w:t xml:space="preserve">I Sentences d. 8, p. II, a. un., qq. 1–2; Itinerarium II.10 →</w:t>
        </w:r>
      </w:hyperlink>
    </w:p>
    <w:p>
      <w:pPr>
        <w:pStyle w:val="BodyText"/>
      </w:pPr>
      <w:r>
        <w:t xml:space="preserve">Pseudo-Dionysius</w:t>
      </w:r>
    </w:p>
    <w:bookmarkEnd w:id="78"/>
    <w:bookmarkStart w:id="81" w:name="different-impressions-one-source"/>
    <w:p>
      <w:pPr>
        <w:pStyle w:val="Heading3"/>
      </w:pPr>
      <w:r>
        <w:t xml:space="preserve">Different impressions; one source</w:t>
      </w:r>
    </w:p>
    <w:p>
      <w:pPr>
        <w:pStyle w:val="FirstParagraph"/>
      </w:pPr>
      <w:r>
        <w:t xml:space="preserve">The seal comparison locates variation partly in recipients. Exemplars help explain intelligible differences; God’s knowledge through their cause addresses a further question. These are three explanations to distinguish, rather than interchangeable proofs.</w:t>
      </w:r>
    </w:p>
    <w:p>
      <w:pPr>
        <w:pStyle w:val="BlockText"/>
      </w:pPr>
      <w:r>
        <w:t xml:space="preserve">the Mind of God gains not Its knowledge of things from those things</w:t>
      </w:r>
    </w:p>
    <w:p>
      <w:pPr>
        <w:pStyle w:val="FirstParagraph"/>
      </w:pPr>
      <w:r>
        <w:t xml:space="preserve">Divine Names VII.2, C. E. Rolt (1920), consulted at CCEL.</w:t>
      </w:r>
    </w:p>
    <w:p>
      <w:pPr>
        <w:pStyle w:val="BodyText"/>
      </w:pPr>
      <w:r>
        <w:t xml:space="preserve">A seal is patterned; the</w:t>
      </w:r>
      <w:r>
        <w:t xml:space="preserve"> </w:t>
      </w:r>
      <w:hyperlink r:id="rId79">
        <w:r>
          <w:rPr>
            <w:rStyle w:val="Hyperlink"/>
          </w:rPr>
          <w:t xml:space="preserve">analogy</w:t>
        </w:r>
      </w:hyperlink>
      <w:r>
        <w:t xml:space="preserve"> </w:t>
      </w:r>
      <w:r>
        <w:t xml:space="preserve">does not establish divine simplicity. Causal knowledge does not alone settle counterfactual selection or all secondary free decisions.</w:t>
      </w:r>
    </w:p>
    <w:p>
      <w:pPr>
        <w:pStyle w:val="BodyText"/>
      </w:pPr>
      <w:hyperlink r:id="rId80">
        <w:r>
          <w:rPr>
            <w:rStyle w:val="Hyperlink"/>
          </w:rPr>
          <w:t xml:space="preserve">Divine Names II.5; V.8; VII.2–3; IX.6–7 →</w:t>
        </w:r>
      </w:hyperlink>
    </w:p>
    <w:p>
      <w:pPr>
        <w:pStyle w:val="BodyText"/>
      </w:pPr>
      <w:r>
        <w:t xml:space="preserve">John Scotus Eriugena</w:t>
      </w:r>
    </w:p>
    <w:bookmarkEnd w:id="81"/>
    <w:bookmarkStart w:id="85" w:name="the-frontier-of-manifestation"/>
    <w:p>
      <w:pPr>
        <w:pStyle w:val="Heading3"/>
      </w:pPr>
      <w:r>
        <w:t xml:space="preserve">The frontier of manifestation</w:t>
      </w:r>
    </w:p>
    <w:p>
      <w:pPr>
        <w:pStyle w:val="FirstParagraph"/>
      </w:pPr>
      <w:hyperlink r:id="rId32">
        <w:r>
          <w:rPr>
            <w:rStyle w:val="Hyperlink"/>
          </w:rPr>
          <w:t xml:space="preserve">Theophany</w:t>
        </w:r>
      </w:hyperlink>
      <w:r>
        <w:t xml:space="preserve">—God’s</w:t>
      </w:r>
      <w:r>
        <w:t xml:space="preserve"> </w:t>
      </w:r>
      <w:hyperlink r:id="rId82">
        <w:r>
          <w:rPr>
            <w:rStyle w:val="Hyperlink"/>
          </w:rPr>
          <w:t xml:space="preserve">manifestation</w:t>
        </w:r>
      </w:hyperlink>
      <w:r>
        <w:t xml:space="preserve">—gives created expression genuine metaphysical importance. Yet the strong identity language and “as it were” divine self-creation make him a stress case: does expression disclose fullness, or supply God with a</w:t>
      </w:r>
      <w:r>
        <w:t xml:space="preserve"> </w:t>
      </w:r>
      <w:hyperlink r:id="rId22">
        <w:r>
          <w:rPr>
            <w:rStyle w:val="Hyperlink"/>
          </w:rPr>
          <w:t xml:space="preserve">determination</w:t>
        </w:r>
      </w:hyperlink>
      <w:r>
        <w:t xml:space="preserve"> </w:t>
      </w:r>
      <w:r>
        <w:t xml:space="preserve">he lacked?</w:t>
      </w:r>
    </w:p>
    <w:p>
      <w:pPr>
        <w:pStyle w:val="BodyText"/>
      </w:pPr>
      <w:r>
        <w:t xml:space="preserve">Inherited Sheldon-Williams/O’Meara translation register; fresh specialist comparison with Dermot Moran’s SEP entry.</w:t>
      </w:r>
    </w:p>
    <w:p>
      <w:pPr>
        <w:pStyle w:val="BodyText"/>
      </w:pPr>
      <w:r>
        <w:t xml:space="preserve">The proposed use of this resource preserves real created</w:t>
      </w:r>
      <w:r>
        <w:t xml:space="preserve"> </w:t>
      </w:r>
      <w:hyperlink r:id="rId83">
        <w:r>
          <w:rPr>
            <w:rStyle w:val="Hyperlink"/>
          </w:rPr>
          <w:t xml:space="preserve">disclosure</w:t>
        </w:r>
      </w:hyperlink>
      <w:r>
        <w:t xml:space="preserve"> </w:t>
      </w:r>
      <w:r>
        <w:t xml:space="preserve">while rejecting completion of God by the world. This selects and, where needed, corrects; it does not harmonize away his stronger claims.</w:t>
      </w:r>
    </w:p>
    <w:p>
      <w:pPr>
        <w:pStyle w:val="BodyText"/>
      </w:pPr>
      <w:hyperlink r:id="rId84">
        <w:r>
          <w:rPr>
            <w:rStyle w:val="Hyperlink"/>
          </w:rPr>
          <w:t xml:space="preserve">Periphyseon I.446D; I.454B–C; II.589B; III.678C–D; III.689B →</w:t>
        </w:r>
      </w:hyperlink>
    </w:p>
    <w:p>
      <w:pPr>
        <w:pStyle w:val="BodyText"/>
      </w:pPr>
      <w:r>
        <w:t xml:space="preserve">Maximus the Confessor</w:t>
      </w:r>
    </w:p>
    <w:bookmarkEnd w:id="85"/>
    <w:bookmarkStart w:id="88" w:name="intelligibility-is-not-yet-realization"/>
    <w:p>
      <w:pPr>
        <w:pStyle w:val="Heading3"/>
      </w:pPr>
      <w:r>
        <w:t xml:space="preserve">Intelligibility is not yet realization</w:t>
      </w:r>
    </w:p>
    <w:p>
      <w:pPr>
        <w:pStyle w:val="FirstParagraph"/>
      </w:pPr>
      <w:r>
        <w:t xml:space="preserve">One Logos and differentiated</w:t>
      </w:r>
      <w:r>
        <w:t xml:space="preserve"> </w:t>
      </w:r>
      <w:hyperlink r:id="rId86">
        <w:r>
          <w:rPr>
            <w:rStyle w:val="Hyperlink"/>
          </w:rPr>
          <w:t xml:space="preserve">logoi</w:t>
        </w:r>
      </w:hyperlink>
      <w:r>
        <w:t xml:space="preserve">—the intelligible principles of creatures—help explain an intelligible order without independent Forms. Creatures’ coming to exist in time must still be distinguished from their intelligible principles and God’s knowledge.</w:t>
      </w:r>
    </w:p>
    <w:p>
      <w:pPr>
        <w:pStyle w:val="BodyText"/>
      </w:pPr>
      <w:r>
        <w:t xml:space="preserve">Provisional Greek transcription reconsulted; collation with Nicholas Constas’s Ambigua (2014) remains outstanding.</w:t>
      </w:r>
    </w:p>
    <w:p>
      <w:pPr>
        <w:pStyle w:val="BodyText"/>
      </w:pPr>
      <w:r>
        <w:t xml:space="preserve">No modern relational theory of free divine action is attributed to Maximus. Logoi do not, merely by being determinate, actualize a world.</w:t>
      </w:r>
    </w:p>
    <w:p>
      <w:pPr>
        <w:pStyle w:val="BodyText"/>
      </w:pPr>
      <w:hyperlink r:id="rId87">
        <w:r>
          <w:rPr>
            <w:rStyle w:val="Hyperlink"/>
          </w:rPr>
          <w:t xml:space="preserve">Ambiguum 7; PG 91, 1077–1081; 1085–1088 →</w:t>
        </w:r>
      </w:hyperlink>
    </w:p>
    <w:p>
      <w:pPr>
        <w:pStyle w:val="BodyText"/>
      </w:pPr>
      <w:r>
        <w:t xml:space="preserve">Gregory of Nyssa</w:t>
      </w:r>
    </w:p>
    <w:bookmarkEnd w:id="88"/>
    <w:bookmarkStart w:id="91" w:name="an-images-mode-is-its-own"/>
    <w:p>
      <w:pPr>
        <w:pStyle w:val="Heading3"/>
      </w:pPr>
      <w:r>
        <w:t xml:space="preserve">An image’s mode is its own</w:t>
      </w:r>
    </w:p>
    <w:p>
      <w:pPr>
        <w:pStyle w:val="FirstParagraph"/>
      </w:pPr>
      <w:r>
        <w:t xml:space="preserve">Likeness in attributes does not erase the difference between created and uncreated nature. Received rational life includes voluntary virtue: dependence upon the ultimate source need not make created agency counterfeit.</w:t>
      </w:r>
    </w:p>
    <w:p>
      <w:pPr>
        <w:pStyle w:val="BlockText"/>
      </w:pPr>
      <w:r>
        <w:t xml:space="preserve">virtue is a voluntary thing, subject to no dominion</w:t>
      </w:r>
    </w:p>
    <w:p>
      <w:pPr>
        <w:pStyle w:val="FirstParagraph"/>
      </w:pPr>
      <w:r>
        <w:t xml:space="preserve">Moore/Wilson, NPNF, second series V; primary translation reconsulted.</w:t>
      </w:r>
    </w:p>
    <w:p>
      <w:pPr>
        <w:pStyle w:val="BodyText"/>
      </w:pPr>
      <w:r>
        <w:t xml:space="preserve">This does not derive divine free agency or establish every claim about infinity and</w:t>
      </w:r>
      <w:r>
        <w:t xml:space="preserve"> </w:t>
      </w:r>
      <w:hyperlink r:id="rId89">
        <w:r>
          <w:rPr>
            <w:rStyle w:val="Hyperlink"/>
          </w:rPr>
          <w:t xml:space="preserve">epektasis</w:t>
        </w:r>
      </w:hyperlink>
      <w:r>
        <w:t xml:space="preserve">. The anthropology contains further speculative commitments.</w:t>
      </w:r>
    </w:p>
    <w:p>
      <w:pPr>
        <w:pStyle w:val="BodyText"/>
      </w:pPr>
      <w:hyperlink r:id="rId90">
        <w:r>
          <w:rPr>
            <w:rStyle w:val="Hyperlink"/>
          </w:rPr>
          <w:t xml:space="preserve">On the Making of Man XVI →</w:t>
        </w:r>
      </w:hyperlink>
    </w:p>
    <w:p>
      <w:pPr>
        <w:pStyle w:val="BodyText"/>
      </w:pPr>
      <w:r>
        <w:t xml:space="preserve">Gregory Nazianzen</w:t>
      </w:r>
    </w:p>
    <w:bookmarkEnd w:id="91"/>
    <w:bookmarkStart w:id="93" w:name="Xac756cafcd733e80019c48d5ac39dbc30bdd06c"/>
    <w:p>
      <w:pPr>
        <w:pStyle w:val="Heading3"/>
      </w:pPr>
      <w:r>
        <w:t xml:space="preserve">Do not force relation into the wrong category</w:t>
      </w:r>
    </w:p>
    <w:p>
      <w:pPr>
        <w:pStyle w:val="FirstParagraph"/>
      </w:pPr>
      <w:r>
        <w:t xml:space="preserve">“Father” names neither a separate essence nor an action that produces a creature. Gregory’s category correction makes real personal distinction philosophically significant without treating persons as pieces of a divine whole.</w:t>
      </w:r>
    </w:p>
    <w:p>
      <w:pPr>
        <w:pStyle w:val="BlockText"/>
      </w:pPr>
      <w:r>
        <w:t xml:space="preserve">it is the name of the Relation in which the Father stands to the Son, and the Son to the Father.</w:t>
      </w:r>
    </w:p>
    <w:p>
      <w:pPr>
        <w:pStyle w:val="FirstParagraph"/>
      </w:pPr>
      <w:r>
        <w:t xml:space="preserve">Oration 29 §16, Browne/Swallow, NPNF, second series VII; directly consulted at CCEL.</w:t>
      </w:r>
    </w:p>
    <w:p>
      <w:pPr>
        <w:pStyle w:val="BodyText"/>
      </w:pPr>
      <w:r>
        <w:t xml:space="preserve">Begotten personal origin is not created existential dependence. This theological case does not prove that contingent creative direction can be relationally specified.</w:t>
      </w:r>
    </w:p>
    <w:p>
      <w:pPr>
        <w:pStyle w:val="BodyText"/>
      </w:pPr>
      <w:hyperlink r:id="rId92">
        <w:r>
          <w:rPr>
            <w:rStyle w:val="Hyperlink"/>
          </w:rPr>
          <w:t xml:space="preserve">Oration 29 §§6–8, 16 →</w:t>
        </w:r>
      </w:hyperlink>
    </w:p>
    <w:p>
      <w:pPr>
        <w:pStyle w:val="BodyText"/>
      </w:pPr>
      <w:r>
        <w:t xml:space="preserve">Joseph Ratzinger / Benedict XVI</w:t>
      </w:r>
    </w:p>
    <w:bookmarkEnd w:id="93"/>
    <w:bookmarkStart w:id="96" w:name="relation-that-preserves-the-person"/>
    <w:p>
      <w:pPr>
        <w:pStyle w:val="Heading3"/>
      </w:pPr>
      <w:r>
        <w:t xml:space="preserve">Relation that preserves the person</w:t>
      </w:r>
    </w:p>
    <w:p>
      <w:pPr>
        <w:pStyle w:val="FirstParagraph"/>
      </w:pPr>
      <w:r>
        <w:t xml:space="preserve">Ratzinger calls for a critical metaphysical evaluation of relation.</w:t>
      </w:r>
      <w:r>
        <w:t xml:space="preserve"> </w:t>
      </w:r>
      <w:hyperlink r:id="rId49">
        <w:r>
          <w:rPr>
            <w:rStyle w:val="Hyperlink"/>
          </w:rPr>
          <w:t xml:space="preserve">Communion</w:t>
        </w:r>
      </w:hyperlink>
      <w:r>
        <w:t xml:space="preserve"> </w:t>
      </w:r>
      <w:r>
        <w:t xml:space="preserve">can preserve identity; God as universal source can be understood together with Logos and personal love. The inquiry therefore concerns concrete persons and their</w:t>
      </w:r>
      <w:r>
        <w:t xml:space="preserve"> </w:t>
      </w:r>
      <w:hyperlink r:id="rId94">
        <w:r>
          <w:rPr>
            <w:rStyle w:val="Hyperlink"/>
          </w:rPr>
          <w:t xml:space="preserve">fulfillment</w:t>
        </w:r>
      </w:hyperlink>
      <w:r>
        <w:t xml:space="preserve">, as well as abstract causal structure.</w:t>
      </w:r>
    </w:p>
    <w:p>
      <w:pPr>
        <w:pStyle w:val="BlockText"/>
      </w:pPr>
      <w:r>
        <w:t xml:space="preserve">true openness does not mean loss of individual identity</w:t>
      </w:r>
    </w:p>
    <w:p>
      <w:pPr>
        <w:pStyle w:val="FirstParagraph"/>
      </w:pPr>
      <w:r>
        <w:t xml:space="preserve">Caritas in veritate §54; unofficial transcript of the official English text consulted; official collation outstanding.</w:t>
      </w:r>
    </w:p>
    <w:p>
      <w:pPr>
        <w:pStyle w:val="BodyText"/>
      </w:pPr>
      <w:r>
        <w:t xml:space="preserve">Human growth through relationships does not prove that God remains intrinsically unchanged across alternative creations. Eternal personal relations are not alternative acts of creation. The 1990 Person essay remains an unconsulted lead.</w:t>
      </w:r>
    </w:p>
    <w:p>
      <w:pPr>
        <w:pStyle w:val="BodyText"/>
      </w:pPr>
      <w:hyperlink r:id="rId95">
        <w:r>
          <w:rPr>
            <w:rStyle w:val="Hyperlink"/>
          </w:rPr>
          <w:t xml:space="preserve">Caritas in veritate §§53–54; Deus caritas est §§9–10 →</w:t>
        </w:r>
      </w:hyperlink>
    </w:p>
    <w:p>
      <w:pPr>
        <w:pStyle w:val="BodyText"/>
      </w:pPr>
      <w:r>
        <w:t xml:space="preserve">Thomas Aquinas</w:t>
      </w:r>
    </w:p>
    <w:bookmarkEnd w:id="96"/>
    <w:bookmarkStart w:id="99" w:name="a-precise-bridge-with-a-definite-cost"/>
    <w:p>
      <w:pPr>
        <w:pStyle w:val="Heading3"/>
      </w:pPr>
      <w:r>
        <w:t xml:space="preserve">A precise bridge, with a definite cost</w:t>
      </w:r>
    </w:p>
    <w:p>
      <w:pPr>
        <w:pStyle w:val="FirstParagraph"/>
      </w:pPr>
      <w:r>
        <w:t xml:space="preserve">Dependence on parts, voluntary creation, knowing effects through self-knowledge, and asymmetric Creator–creature relations help answer distinct questions. His achievement helps specify the questions; it does not require adopting every part of his</w:t>
      </w:r>
      <w:r>
        <w:t xml:space="preserve"> </w:t>
      </w:r>
      <w:hyperlink r:id="rId97">
        <w:r>
          <w:rPr>
            <w:rStyle w:val="Hyperlink"/>
          </w:rPr>
          <w:t xml:space="preserve">metaphysics</w:t>
        </w:r>
      </w:hyperlink>
      <w:r>
        <w:t xml:space="preserve"> </w:t>
      </w:r>
      <w:r>
        <w:t xml:space="preserve">as this page’s framework.</w:t>
      </w:r>
    </w:p>
    <w:p>
      <w:pPr>
        <w:pStyle w:val="BodyText"/>
      </w:pPr>
      <w:r>
        <w:t xml:space="preserve">Earlier-page primary-source and formal audit inherited; no fresh critical-edition collation here.</w:t>
      </w:r>
    </w:p>
    <w:p>
      <w:pPr>
        <w:pStyle w:val="BodyText"/>
      </w:pPr>
      <w:r>
        <w:t xml:space="preserve">A relation real in the creature need not add a feature to God; that claim must still explain genuine divine control. Each proposed</w:t>
      </w:r>
      <w:r>
        <w:t xml:space="preserve"> </w:t>
      </w:r>
      <w:hyperlink r:id="rId26">
        <w:r>
          <w:rPr>
            <w:rStyle w:val="Hyperlink"/>
          </w:rPr>
          <w:t xml:space="preserve">real distinction</w:t>
        </w:r>
      </w:hyperlink>
      <w:r>
        <w:t xml:space="preserve"> </w:t>
      </w:r>
      <w:r>
        <w:t xml:space="preserve">still needs an argument showing whether it adds a constituent or received actuality to God.</w:t>
      </w:r>
    </w:p>
    <w:p>
      <w:pPr>
        <w:pStyle w:val="BodyText"/>
      </w:pPr>
      <w:hyperlink r:id="rId98">
        <w:r>
          <w:rPr>
            <w:rStyle w:val="Hyperlink"/>
          </w:rPr>
          <w:t xml:space="preserve">Summa theologiae I, q. 3; q. 14, aa. 5, 8, 13; q. 19, aa. 3, 7; q. 45, a. 3 →</w:t>
        </w:r>
      </w:hyperlink>
    </w:p>
    <w:bookmarkEnd w:id="99"/>
    <w:p>
      <w:pPr>
        <w:pStyle w:val="BodyText"/>
      </w:pPr>
      <w:r>
        <w:t xml:space="preserve">Augustine’s</w:t>
      </w:r>
      <w:r>
        <w:t xml:space="preserve"> </w:t>
      </w:r>
      <w:hyperlink r:id="rId100">
        <w:r>
          <w:rPr>
            <w:rStyle w:val="Hyperlink"/>
          </w:rPr>
          <w:t xml:space="preserve">divine ideas</w:t>
        </w:r>
      </w:hyperlink>
      <w:r>
        <w:t xml:space="preserve"> </w:t>
      </w:r>
      <w:r>
        <w:t xml:space="preserve">help explain creaturely intelligibility without external standards; Anselm helps distinguish rational freedom from indeterminacy; Scotus insists upon genuine</w:t>
      </w:r>
      <w:r>
        <w:t xml:space="preserve"> </w:t>
      </w:r>
      <w:hyperlink r:id="rId101">
        <w:r>
          <w:rPr>
            <w:rStyle w:val="Hyperlink"/>
          </w:rPr>
          <w:t xml:space="preserve">contingency</w:t>
        </w:r>
      </w:hyperlink>
      <w:r>
        <w:t xml:space="preserve"> </w:t>
      </w:r>
      <w:r>
        <w:t xml:space="preserve">rather than the mere finitude of an effect. Przywara preserves likeness within greater unlikeness. Their contributions on the earlier pages continue to constrain this proposal.</w:t>
      </w:r>
    </w:p>
    <w:p>
      <w:pPr>
        <w:pStyle w:val="BodyText"/>
      </w:pPr>
      <w:r>
        <w:t xml:space="preserve">07 / POSITIVE CONSEQUENCE</w:t>
      </w:r>
    </w:p>
    <w:bookmarkStart w:id="102" w:name="X2180b5989a9420f61a6b4d81341b0088721e320"/>
    <w:p>
      <w:pPr>
        <w:pStyle w:val="Heading2"/>
      </w:pPr>
      <w:r>
        <w:t xml:space="preserve">Received agency and the good of finite life</w:t>
      </w:r>
    </w:p>
    <w:p>
      <w:pPr>
        <w:pStyle w:val="FirstParagraph"/>
      </w:pPr>
      <w:r>
        <w:t xml:space="preserve">Dependence can enable a subject’s own act; finite conditions can constitute its good.</w:t>
      </w:r>
    </w:p>
    <w:bookmarkEnd w:id="102"/>
    <w:p>
      <w:pPr>
        <w:pStyle w:val="BodyText"/>
      </w:pPr>
      <w:r>
        <w:t xml:space="preserve">CONSTRUCTIVE APPLICATION WITH PRIMARY RESOURCES</w:t>
      </w:r>
    </w:p>
    <w:bookmarkStart w:id="103" w:name="Xdd192ad88014ef7feaacaa364f86dcfae64f8c6"/>
    <w:p>
      <w:pPr>
        <w:pStyle w:val="Heading3"/>
      </w:pPr>
      <w:r>
        <w:t xml:space="preserve">A power can be given and genuinely exercised</w:t>
      </w:r>
    </w:p>
    <w:p>
      <w:pPr>
        <w:pStyle w:val="FirstParagraph"/>
      </w:pPr>
      <w:r>
        <w:t xml:space="preserve">Participation means real dependent possession according to the participant’s mode. Applied to agency, this demands a further bridge: the creature must possess an operative power and exercise it through its own judgment, intention, and control. Receiving a power and using it are different relations. God’s sustaining the agent does not, merely by that fact, make God the subject of the agent’s intention.</w:t>
      </w:r>
    </w:p>
    <w:p>
      <w:pPr>
        <w:pStyle w:val="BodyText"/>
      </w:pPr>
      <w:r>
        <w:t xml:space="preserve">This gives</w:t>
      </w:r>
      <w:r>
        <w:t xml:space="preserve"> </w:t>
      </w:r>
      <w:hyperlink r:id="rId33">
        <w:r>
          <w:rPr>
            <w:rStyle w:val="Hyperlink"/>
          </w:rPr>
          <w:t xml:space="preserve">secondary causality</w:t>
        </w:r>
      </w:hyperlink>
      <w:r>
        <w:t xml:space="preserve"> </w:t>
      </w:r>
      <w:r>
        <w:t xml:space="preserve">positive content. A musician may receive an instrument and still be the one who plays; support can enable a person’s choice rather than substitute for it. These finite comparisons do not prove the divine case, but they defeat the inference from dependence alone to passivity. The theological and metaphysical claim is stronger: God communicates real created powers whose exercises remain the creature’s acts. How</w:t>
      </w:r>
      <w:r>
        <w:t xml:space="preserve"> </w:t>
      </w:r>
      <w:hyperlink r:id="rId34">
        <w:r>
          <w:rPr>
            <w:rStyle w:val="Hyperlink"/>
          </w:rPr>
          <w:t xml:space="preserve">divine concurrence</w:t>
        </w:r>
      </w:hyperlink>
      <w:r>
        <w:t xml:space="preserve"> </w:t>
      </w:r>
      <w:r>
        <w:t xml:space="preserve">preserves that control still requires a model; the word “participation” cannot supply one.</w:t>
      </w:r>
    </w:p>
    <w:bookmarkEnd w:id="103"/>
    <w:bookmarkStart w:id="105" w:name="three-meanings-of-limitation"/>
    <w:p>
      <w:pPr>
        <w:pStyle w:val="Heading3"/>
      </w:pPr>
      <w:r>
        <w:t xml:space="preserve">Three meanings of limitation</w:t>
      </w:r>
    </w:p>
    <w:p>
      <w:pPr>
        <w:pStyle w:val="FirstParagraph"/>
      </w:pPr>
      <w:r>
        <w:t xml:space="preserve">Some limitations are</w:t>
      </w:r>
      <w:r>
        <w:t xml:space="preserve"> </w:t>
      </w:r>
      <w:r>
        <w:rPr>
          <w:b/>
          <w:bCs/>
        </w:rPr>
        <w:t xml:space="preserve">privations</w:t>
      </w:r>
      <w:r>
        <w:t xml:space="preserve">: ignorance obstructs knowledge. Others are</w:t>
      </w:r>
      <w:r>
        <w:t xml:space="preserve"> </w:t>
      </w:r>
      <w:r>
        <w:rPr>
          <w:b/>
          <w:bCs/>
        </w:rPr>
        <w:t xml:space="preserve">positive conditions of a particular good</w:t>
      </w:r>
      <w:r>
        <w:t xml:space="preserve">: a melody needs succession, a conversation distinct speakers, a promise a history of fidelity. Still others are</w:t>
      </w:r>
      <w:r>
        <w:t xml:space="preserve"> </w:t>
      </w:r>
      <w:r>
        <w:rPr>
          <w:b/>
          <w:bCs/>
        </w:rPr>
        <w:t xml:space="preserve">adverse circumstances to which a good responds</w:t>
      </w:r>
      <w:r>
        <w:t xml:space="preserve">: courage in danger, healing after illness. Confusing these categories turns every finite condition into a defect or every good response into a</w:t>
      </w:r>
      <w:r>
        <w:t xml:space="preserve"> </w:t>
      </w:r>
      <w:hyperlink r:id="rId104">
        <w:r>
          <w:rPr>
            <w:rStyle w:val="Hyperlink"/>
          </w:rPr>
          <w:t xml:space="preserve">justification</w:t>
        </w:r>
      </w:hyperlink>
      <w:r>
        <w:t xml:space="preserve"> </w:t>
      </w:r>
      <w:r>
        <w:t xml:space="preserve">of harm.</w:t>
      </w:r>
    </w:p>
    <w:p>
      <w:pPr>
        <w:pStyle w:val="BodyText"/>
      </w:pPr>
      <w:r>
        <w:t xml:space="preserve">The test is concrete: would removing this condition perfect the same good, or abolish that kind of good? Removing distortion improves the melody; sounding every note at once abolishes it. God can ground the goodness of learning without learning, and the goodness of courage without undergoing danger. The complete finite description need not be transferred into its source.</w:t>
      </w:r>
    </w:p>
    <w:p>
      <w:pPr>
        <w:pStyle w:val="BodyText"/>
      </w:pPr>
      <w:r>
        <w:t xml:space="preserve">Created novelty therefore matters. A friendship comes to exist; a child understands; an injustice is repaired. These are new goods in creatures, not missing episodes through which God becomes complete. Bonaventure’s proportion, Augustine’s passing words, and Nyssa’s voluntary virtue illuminate different aspects of that claim.</w:t>
      </w:r>
    </w:p>
    <w:bookmarkEnd w:id="105"/>
    <w:bookmarkStart w:id="107" w:name="communion-fulfills-without-absorbing"/>
    <w:p>
      <w:pPr>
        <w:pStyle w:val="Heading3"/>
      </w:pPr>
      <w:r>
        <w:t xml:space="preserve">Communion fulfills without absorbing</w:t>
      </w:r>
    </w:p>
    <w:p>
      <w:pPr>
        <w:pStyle w:val="FirstParagraph"/>
      </w:pPr>
      <w:r>
        <w:t xml:space="preserve">Ratzinger gives the argument a personal horizon: communion preserves identity. It requires knowing and loving, rather than mere dependence or proximity.</w:t>
      </w:r>
      <w:r>
        <w:t xml:space="preserve"> </w:t>
      </w:r>
      <w:hyperlink r:id="rId106">
        <w:r>
          <w:rPr>
            <w:rStyle w:val="Hyperlink"/>
          </w:rPr>
          <w:t xml:space="preserve">Grace</w:t>
        </w:r>
      </w:hyperlink>
      <w:r>
        <w:t xml:space="preserve"> </w:t>
      </w:r>
      <w:r>
        <w:t xml:space="preserve">must enable the creature actually to know and love; divine activity passing through a passive shell would supply neither created agency nor communion. None of this turns suffering into a good simply because healing or courage can follow it.</w:t>
      </w:r>
    </w:p>
    <w:bookmarkEnd w:id="107"/>
    <w:p>
      <w:pPr>
        <w:pStyle w:val="BodyText"/>
      </w:pPr>
      <w:r>
        <w:t xml:space="preserve">08 / THEOLOGICAL BOUNDARY</w:t>
      </w:r>
    </w:p>
    <w:bookmarkStart w:id="108" w:name="X18f3360128681884cc1f7c99e5dcf0f63355c66"/>
    <w:p>
      <w:pPr>
        <w:pStyle w:val="Heading2"/>
      </w:pPr>
      <w:r>
        <w:t xml:space="preserve">One divine actuality, different kinds of determination</w:t>
      </w:r>
    </w:p>
    <w:p>
      <w:pPr>
        <w:pStyle w:val="FirstParagraph"/>
      </w:pPr>
      <w:r>
        <w:t xml:space="preserve">Essential meaning, personal origin, and contingent action cannot prove one another.</w:t>
      </w:r>
    </w:p>
    <w:bookmarkEnd w:id="108"/>
    <w:p>
      <w:pPr>
        <w:pStyle w:val="BodyText"/>
      </w:pPr>
      <w:r>
        <w:t xml:space="preserve">REVEALED COMMITMENTS ≠ PHILOSOPHICAL DEDUCTIONS</w:t>
      </w:r>
    </w:p>
    <w:p>
      <w:pPr>
        <w:pStyle w:val="BodyText"/>
      </w:pPr>
      <w:r>
        <w:t xml:space="preserve">The systematic distinction is between</w:t>
      </w:r>
      <w:r>
        <w:t xml:space="preserve"> </w:t>
      </w:r>
      <w:r>
        <w:rPr>
          <w:b/>
          <w:bCs/>
        </w:rPr>
        <w:t xml:space="preserve">being determinate</w:t>
      </w:r>
      <w:r>
        <w:t xml:space="preserve"> </w:t>
      </w:r>
      <w:r>
        <w:t xml:space="preserve">and</w:t>
      </w:r>
      <w:r>
        <w:t xml:space="preserve"> </w:t>
      </w:r>
      <w:r>
        <w:rPr>
          <w:b/>
          <w:bCs/>
        </w:rPr>
        <w:t xml:space="preserve">receiving actuality through a determination</w:t>
      </w:r>
      <w:r>
        <w:t xml:space="preserve">. It organizes several questions without reducing them to one relation.</w:t>
      </w:r>
    </w:p>
    <w:p>
      <w:pPr>
        <w:pStyle w:val="BodyText"/>
      </w:pPr>
      <w:r>
        <w:rPr>
          <w:b/>
          <w:bCs/>
        </w:rPr>
        <w:t xml:space="preserve">1.</w:t>
      </w:r>
      <w:r>
        <w:t xml:space="preserve"> </w:t>
      </w:r>
      <w:r>
        <w:rPr>
          <w:b/>
          <w:bCs/>
        </w:rPr>
        <w:t xml:space="preserve">Essential</w:t>
      </w:r>
      <w:r>
        <w:rPr>
          <w:b/>
          <w:bCs/>
        </w:rPr>
        <w:t xml:space="preserve"> </w:t>
      </w:r>
      <w:hyperlink r:id="rId109">
        <w:r>
          <w:rPr>
            <w:rStyle w:val="Hyperlink"/>
            <w:b/>
            <w:bCs/>
          </w:rPr>
          <w:t xml:space="preserve">predication</w:t>
        </w:r>
      </w:hyperlink>
      <w:r>
        <w:rPr>
          <w:b/>
          <w:bCs/>
        </w:rPr>
        <w:t xml:space="preserve">:</w:t>
      </w:r>
      <w:r>
        <w:t xml:space="preserve"> </w:t>
      </w:r>
      <w:r>
        <w:t xml:space="preserve">wisdom and power differ in meaning without thereby requiring separate actuality-parts. Their realization in one divine actuality needs its own perfection argument.</w:t>
      </w:r>
    </w:p>
    <w:p>
      <w:pPr>
        <w:pStyle w:val="BodyText"/>
      </w:pPr>
      <w:r>
        <w:rPr>
          <w:b/>
          <w:bCs/>
        </w:rPr>
        <w:t xml:space="preserve">2.</w:t>
      </w:r>
      <w:r>
        <w:t xml:space="preserve"> </w:t>
      </w:r>
      <w:r>
        <w:rPr>
          <w:b/>
          <w:bCs/>
        </w:rPr>
        <w:t xml:space="preserve">Personal origin:</w:t>
      </w:r>
      <w:r>
        <w:t xml:space="preserve"> </w:t>
      </w:r>
      <w:r>
        <w:t xml:space="preserve">Father, Son, and Spirit are really distinct by revealed relations of origin, without divided deity. The Son’s being from the Father is not creaturely reception, actualization from potency, or lesser possession of divine life.</w:t>
      </w:r>
    </w:p>
    <w:p>
      <w:pPr>
        <w:pStyle w:val="BodyText"/>
      </w:pPr>
      <w:r>
        <w:rPr>
          <w:b/>
          <w:bCs/>
        </w:rPr>
        <w:t xml:space="preserve">3.</w:t>
      </w:r>
      <w:r>
        <w:t xml:space="preserve"> </w:t>
      </w:r>
      <w:r>
        <w:rPr>
          <w:b/>
          <w:bCs/>
        </w:rPr>
        <w:t xml:space="preserve">Free outward action:</w:t>
      </w:r>
      <w:r>
        <w:t xml:space="preserve"> </w:t>
      </w:r>
      <w:r>
        <w:t xml:space="preserve">creating this world rather than another is a contingent intentional difference. The proposed relational account must explain it independently; personal relations do not prove its coherence.</w:t>
      </w:r>
    </w:p>
    <w:p>
      <w:pPr>
        <w:pStyle w:val="BodyText"/>
      </w:pPr>
      <w:r>
        <w:t xml:space="preserve">Nazianzen’s category correction and Bonaventure’s distinction by origin prevent simplicity from becoming the absence of every real distinction. They do not turn the Persons into alternative creative outputs. “All real difference is extrinsic” would itself contradict the revealed personal relations.</w:t>
      </w:r>
    </w:p>
    <w:p>
      <w:pPr>
        <w:pStyle w:val="BodyText"/>
      </w:pPr>
      <w:r>
        <w:t xml:space="preserve">The Incarnation is another distinct claim. Christ’s humanity is not an ordinary participant elevated until it becomes God. The one divine Son personally subsists in divine and human natures without confusion or division. His human willing and suffering are real; they do not become creaturely properties of the divine nature. General participation can protect the categories, but cannot establish the</w:t>
      </w:r>
      <w:r>
        <w:t xml:space="preserve"> </w:t>
      </w:r>
      <w:hyperlink r:id="rId110">
        <w:r>
          <w:rPr>
            <w:rStyle w:val="Hyperlink"/>
          </w:rPr>
          <w:t xml:space="preserve">hypostatic union</w:t>
        </w:r>
      </w:hyperlink>
      <w:r>
        <w:t xml:space="preserve"> </w:t>
      </w:r>
      <w:r>
        <w:t xml:space="preserve">or the identity of Jesus Christ.</w:t>
      </w:r>
    </w:p>
    <w:p>
      <w:pPr>
        <w:pStyle w:val="BodyText"/>
      </w:pPr>
      <w:r>
        <w:t xml:space="preserve">Beatific vision supplies a final correction. Catholic teaching affirms immediate vision of God himself, not merely a created representation standing in for him. The finite act of seeing remains received and non-exhaustive: immediacy identifies the object, not equality with God’s cognitive mode. Neither personal distinction nor fulfilled communion entails partition, absorption, or the disappearance of created agency.</w:t>
      </w:r>
    </w:p>
    <w:p>
      <w:pPr>
        <w:pStyle w:val="BodyText"/>
      </w:pPr>
      <w:r>
        <w:t xml:space="preserve">09 / WHERE EXPLANATION FINALLY STOPS</w:t>
      </w:r>
    </w:p>
    <w:bookmarkStart w:id="111" w:name="X2aa4d949e88c090b5d8c079062bbf31a054818c"/>
    <w:p>
      <w:pPr>
        <w:pStyle w:val="Heading2"/>
      </w:pPr>
      <w:r>
        <w:t xml:space="preserve">A determinate explanation with explicit stopping points</w:t>
      </w:r>
    </w:p>
    <w:p>
      <w:pPr>
        <w:pStyle w:val="FirstParagraph"/>
      </w:pPr>
      <w:r>
        <w:t xml:space="preserve">Actuality, agency, and knowledge each make a distinct explanatory demand.</w:t>
      </w:r>
    </w:p>
    <w:bookmarkEnd w:id="111"/>
    <w:p>
      <w:pPr>
        <w:pStyle w:val="BodyText"/>
      </w:pPr>
      <w:r>
        <w:t xml:space="preserve">STARTING COMMITMENTS AND OPEN QUESTIONS</w:t>
      </w:r>
    </w:p>
    <w:p>
      <w:pPr>
        <w:pStyle w:val="BodyText"/>
      </w:pPr>
      <w:r>
        <w:rPr>
          <w:b/>
          <w:bCs/>
        </w:rPr>
        <w:t xml:space="preserve">Where Explanation Finally Stops.</w:t>
      </w:r>
      <w:r>
        <w:t xml:space="preserve"> </w:t>
      </w:r>
      <w:r>
        <w:t xml:space="preserve">Actuality tells us that something is so. It does not say why this intention occurs, what makes it the agent’s act, or how it is known. Individuation asks what makes it this particular action; constitution asks whether something more basic makes the agent what it is. An answer to either need not answer the other.</w:t>
      </w:r>
    </w:p>
    <w:p>
      <w:pPr>
        <w:pStyle w:val="BodyText"/>
      </w:pPr>
      <w:r>
        <w:t xml:space="preserve">The account terminates in an intelligent agent’s actual rational exercise, not in an infinite sequence of inner selectors. That stopping point is defensible only if the agent’s intention and control really explain the outcome. A lottery does not become authorship because its unexplained result has been called a choice. Conversely, an explanation need not be deterministic merely because it is genuine.</w:t>
      </w:r>
    </w:p>
    <w:p>
      <w:pPr>
        <w:pStyle w:val="BodyText"/>
      </w:pPr>
      <w:r>
        <w:t xml:space="preserve">Dependence on constituents excludes proper intrinsic parts in an absolutely underived source. It has not established intrinsic invariance across possible creations, every divine perfection, or a theory of free choice. Those bridges remain distinct. One concrete realizer of several compatible meanings does not demonstrate one unchanging intellect’s knowledge of incompatible alternative histories.</w:t>
      </w:r>
    </w:p>
    <w:p>
      <w:pPr>
        <w:pStyle w:val="BodyText"/>
      </w:pPr>
      <w:r>
        <w:t xml:space="preserve">Cause and recipient can clarify one another conceptually. Learning about God through effects need not make God depend upon those effects. A definitional circle would arise if source and reception were each defined entirely through the other; an ontological reversal would arise if creatures supplied the very actuality by which God explains them. Neither is required by the proposed relational explanation.</w:t>
      </w:r>
    </w:p>
    <w:p>
      <w:pPr>
        <w:pStyle w:val="SourceCode"/>
      </w:pPr>
      <w:r>
        <w:rPr>
          <w:rStyle w:val="VerbatimChar"/>
        </w:rPr>
        <w:t xml:space="preserve">U(g) + dependence on constituents ⇒ no proper intrinsic parts.</w:t>
      </w:r>
      <w:r>
        <w:br/>
      </w:r>
      <w:r>
        <w:rPr>
          <w:rStyle w:val="VerbatimChar"/>
        </w:rPr>
        <w:t xml:space="preserve">No proper parts ⇏ intrinsic invariance or free action.</w:t>
      </w:r>
      <w:r>
        <w:br/>
      </w:r>
      <w:r>
        <w:rPr>
          <w:rStyle w:val="VerbatimChar"/>
        </w:rPr>
        <w:t xml:space="preserve">S(g,e,p) + T(e,x) ⇒ intentional action that produces x.</w:t>
      </w:r>
      <w:r>
        <w:br/>
      </w:r>
      <w:r>
        <w:rPr>
          <w:rStyle w:val="VerbatimChar"/>
        </w:rPr>
        <w:t xml:space="preserve">S(g,e,p) + T(e,x) + SelfAccess(g,e)</w:t>
      </w:r>
      <w:r>
        <w:br/>
      </w:r>
      <w:r>
        <w:rPr>
          <w:rStyle w:val="VerbatimChar"/>
        </w:rPr>
        <w:t xml:space="preserve">+ Transparency(e,x) + Warrant(g,e)</w:t>
      </w:r>
      <w:r>
        <w:br/>
      </w:r>
      <w:r>
        <w:rPr>
          <w:rStyle w:val="VerbatimChar"/>
        </w:rPr>
        <w:t xml:space="preserve">⇒ knowledge of x through the action.</w:t>
      </w:r>
      <w:r>
        <w:br/>
      </w:r>
      <w:r>
        <w:rPr>
          <w:rStyle w:val="VerbatimChar"/>
        </w:rPr>
        <w:t xml:space="preserve">Knowledge of free secondary acts requires an additional awareness bridge.</w:t>
      </w:r>
    </w:p>
    <w:p>
      <w:pPr>
        <w:pStyle w:val="FirstParagraph"/>
      </w:pPr>
      <w:r>
        <w:t xml:space="preserve">The final line is indispensable. A formula that records comprehensive awareness would not derive it. The constructive explanation has a clear core and a clear remaining boundary.</w:t>
      </w:r>
    </w:p>
    <w:p>
      <w:pPr>
        <w:pStyle w:val="BodyText"/>
      </w:pPr>
      <w:r>
        <w:t xml:space="preserve">10 / DEVELOPMENT AND RIVALS</w:t>
      </w:r>
    </w:p>
    <w:bookmarkStart w:id="112" w:name="a-proposal-with-an-argumentative-cost"/>
    <w:p>
      <w:pPr>
        <w:pStyle w:val="Heading2"/>
      </w:pPr>
      <w:r>
        <w:t xml:space="preserve">A proposal with an argumentative cost</w:t>
      </w:r>
    </w:p>
    <w:p>
      <w:pPr>
        <w:pStyle w:val="FirstParagraph"/>
      </w:pPr>
      <w:r>
        <w:t xml:space="preserve">Its contribution is to connect distinct explanatory achievements without making them interchangeable.</w:t>
      </w:r>
    </w:p>
    <w:bookmarkEnd w:id="112"/>
    <w:p>
      <w:pPr>
        <w:pStyle w:val="BodyText"/>
      </w:pPr>
      <w:r>
        <w:t xml:space="preserve">NEWMAN-STYLE ANALOGY · PROVISIONAL</w:t>
      </w:r>
    </w:p>
    <w:p>
      <w:pPr>
        <w:pStyle w:val="BodyText"/>
      </w:pPr>
      <w:r>
        <w:t xml:space="preserve">The proposal preserves participation’s type: an uncreated source, real creaturely otherness and goodness, received possession, and asymmetric dependence. It assimilates theophany, exemplarism, personal relation, rational freedom, and secondary agency while keeping their different explanatory jobs visible. Its sequence is intelligible: participation raises questions about the source; simplicity raises questions about concrete intelligent action; action raises questions about contingent knowledge and communion.</w:t>
      </w:r>
    </w:p>
    <w:p>
      <w:pPr>
        <w:pStyle w:val="BodyText"/>
      </w:pPr>
      <w:r>
        <w:t xml:space="preserve">The positive gain is a coordinated account of determination without acquired divine completion. That is a systematic development of inherited distinctions, rather than a claim that the vocabulary names an unprecedented primitive or a new proof superior to every classical argument.</w:t>
      </w:r>
    </w:p>
    <w:p>
      <w:pPr>
        <w:pStyle w:val="BodyText"/>
      </w:pPr>
      <w:r>
        <w:t xml:space="preserve">Three strong rivals remain.</w:t>
      </w:r>
      <w:r>
        <w:t xml:space="preserve"> </w:t>
      </w:r>
      <w:r>
        <w:rPr>
          <w:b/>
          <w:bCs/>
        </w:rPr>
        <w:t xml:space="preserve">Necessary emanation</w:t>
      </w:r>
      <w:r>
        <w:t xml:space="preserve"> </w:t>
      </w:r>
      <w:r>
        <w:t xml:space="preserve">offers productive fullness but denies the required alternatives.</w:t>
      </w:r>
      <w:r>
        <w:t xml:space="preserve"> </w:t>
      </w:r>
      <w:r>
        <w:rPr>
          <w:b/>
          <w:bCs/>
        </w:rPr>
        <w:t xml:space="preserve">Intrinsic variation in divine intentions</w:t>
      </w:r>
      <w:r>
        <w:t xml:space="preserve"> </w:t>
      </w:r>
      <w:r>
        <w:t xml:space="preserve">preserves choice while denying invariance, without necessarily introducing proper parts.</w:t>
      </w:r>
      <w:r>
        <w:t xml:space="preserve"> </w:t>
      </w:r>
      <w:r>
        <w:rPr>
          <w:b/>
          <w:bCs/>
        </w:rPr>
        <w:t xml:space="preserve">An outcome-only relational account</w:t>
      </w:r>
      <w:r>
        <w:t xml:space="preserve"> </w:t>
      </w:r>
      <w:r>
        <w:t xml:space="preserve">preserves invariance but fails to supply intentional authorship. The present proposal succeeds only if it preserves the explanatory strengths of the second while excluding the failure of the third.</w:t>
      </w:r>
    </w:p>
    <w:p>
      <w:pPr>
        <w:pStyle w:val="BodyText"/>
      </w:pPr>
      <w:r>
        <w:t xml:space="preserve">Historical differences matter. Eriugena’s strongest identity and divine self-manifestation language is not simply Aquinas’s mixed relations; Scotus’s distinctions cannot be refuted by counting them as parts. These traditions supply arguments and counterpressure, not signatures beneath one modern theory.</w:t>
      </w:r>
    </w:p>
    <w:p>
      <w:pPr>
        <w:pStyle w:val="BodyText"/>
      </w:pPr>
      <w:r>
        <w:t xml:space="preserve">Newman’s preservation of type, continuity of principles, logical sequence, and assimilative power are useful tests. Long-term stability and explanatory fruitfulness remain prospective. The analogy does not certify this architecture as defined Catholic doctrine.</w:t>
      </w:r>
    </w:p>
    <w:bookmarkStart w:id="113" w:name="X655cac7ed4878b41af5dc54200e87a305c9980b"/>
    <w:p>
      <w:pPr>
        <w:pStyle w:val="Heading3"/>
      </w:pPr>
      <w:r>
        <w:t xml:space="preserve">What removing an assumption leaves unexplained</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Resource removed</w:t>
            </w:r>
          </w:p>
        </w:tc>
        <w:tc>
          <w:tcPr>
            <w:tcW w:type="dxa" w:w="3312"/>
            <w:shd w:fill="EAE5DA"/>
          </w:tcPr>
          <w:p>
            <w:pPr>
              <w:pStyle w:val="BodyText"/>
              <w:keepNext w:val="0"/>
              <w:spacing w:after="80" w:line="252" w:lineRule="auto"/>
              <w:jc w:val="left"/>
            </w:pPr>
            <w:r>
              <w:rPr>
                <w:rFonts w:ascii="Calibri" w:hAnsi="Calibri"/>
                <w:b/>
                <w:sz w:val="17"/>
              </w:rPr>
              <w:t xml:space="preserve">Explanatory loss</w:t>
            </w:r>
          </w:p>
        </w:tc>
        <w:tc>
          <w:tcPr>
            <w:tcW w:type="dxa" w:w="3312"/>
            <w:shd w:fill="EAE5DA"/>
          </w:tcPr>
          <w:p>
            <w:pPr>
              <w:pStyle w:val="BodyText"/>
              <w:keepNext w:val="0"/>
              <w:spacing w:after="80" w:line="252" w:lineRule="auto"/>
              <w:jc w:val="left"/>
            </w:pPr>
            <w:r>
              <w:rPr>
                <w:rFonts w:ascii="Calibri" w:hAnsi="Calibri"/>
                <w:b/>
                <w:sz w:val="17"/>
              </w:rPr>
              <w:t xml:space="preserve">Diagnostic rival</w:t>
            </w:r>
          </w:p>
        </w:tc>
      </w:tr>
      <w:tr>
        <w:tc>
          <w:tcPr>
            <w:tcW w:type="dxa" w:w="3312"/>
          </w:tcPr>
          <w:p>
            <w:pPr>
              <w:pStyle w:val="BodyText"/>
              <w:keepNext w:val="0"/>
              <w:spacing w:after="80" w:line="252" w:lineRule="auto"/>
              <w:jc w:val="left"/>
            </w:pPr>
            <w:r>
              <w:rPr>
                <w:rFonts w:ascii="Calibri" w:hAnsi="Calibri"/>
                <w:sz w:val="17"/>
              </w:rPr>
              <w:t xml:space="preserve">Recipient conditions</w:t>
            </w:r>
          </w:p>
        </w:tc>
        <w:tc>
          <w:tcPr>
            <w:tcW w:type="dxa" w:w="3312"/>
          </w:tcPr>
          <w:p>
            <w:pPr>
              <w:pStyle w:val="BodyText"/>
              <w:keepNext w:val="0"/>
              <w:spacing w:after="80" w:line="252" w:lineRule="auto"/>
              <w:jc w:val="left"/>
            </w:pPr>
            <w:r>
              <w:rPr>
                <w:rFonts w:ascii="Calibri" w:hAnsi="Calibri"/>
                <w:sz w:val="17"/>
              </w:rPr>
              <w:t xml:space="preserve">Variation must be explained elsewhere; different receptions lose their explanation.</w:t>
            </w:r>
          </w:p>
        </w:tc>
        <w:tc>
          <w:tcPr>
            <w:tcW w:type="dxa" w:w="3312"/>
          </w:tcPr>
          <w:p>
            <w:pPr>
              <w:pStyle w:val="BodyText"/>
              <w:keepNext w:val="0"/>
              <w:spacing w:after="80" w:line="252" w:lineRule="auto"/>
              <w:jc w:val="left"/>
            </w:pPr>
            <w:r>
              <w:rPr>
                <w:rFonts w:ascii="Calibri" w:hAnsi="Calibri"/>
                <w:sz w:val="17"/>
              </w:rPr>
              <w:t xml:space="preserve">Different impressions wrongly force different parts in their source.</w:t>
            </w:r>
          </w:p>
        </w:tc>
      </w:tr>
      <w:tr>
        <w:tc>
          <w:tcPr>
            <w:tcW w:type="dxa" w:w="3312"/>
          </w:tcPr>
          <w:p>
            <w:pPr>
              <w:pStyle w:val="BodyText"/>
              <w:keepNext w:val="0"/>
              <w:spacing w:after="80" w:line="252" w:lineRule="auto"/>
              <w:jc w:val="left"/>
            </w:pPr>
            <w:r>
              <w:rPr>
                <w:rFonts w:ascii="Calibri" w:hAnsi="Calibri"/>
                <w:sz w:val="17"/>
              </w:rPr>
              <w:t xml:space="preserve">Intention and control</w:t>
            </w:r>
          </w:p>
        </w:tc>
        <w:tc>
          <w:tcPr>
            <w:tcW w:type="dxa" w:w="3312"/>
          </w:tcPr>
          <w:p>
            <w:pPr>
              <w:pStyle w:val="BodyText"/>
              <w:keepNext w:val="0"/>
              <w:spacing w:after="80" w:line="252" w:lineRule="auto"/>
              <w:jc w:val="left"/>
            </w:pPr>
            <w:r>
              <w:rPr>
                <w:rFonts w:ascii="Calibri" w:hAnsi="Calibri"/>
                <w:sz w:val="17"/>
              </w:rPr>
              <w:t xml:space="preserve">A benefit or outcome remains without an intentional agent.</w:t>
            </w:r>
          </w:p>
        </w:tc>
        <w:tc>
          <w:tcPr>
            <w:tcW w:type="dxa" w:w="3312"/>
          </w:tcPr>
          <w:p>
            <w:pPr>
              <w:pStyle w:val="BodyText"/>
              <w:keepNext w:val="0"/>
              <w:spacing w:after="80" w:line="252" w:lineRule="auto"/>
              <w:jc w:val="left"/>
            </w:pPr>
            <w:r>
              <w:rPr>
                <w:rFonts w:ascii="Calibri" w:hAnsi="Calibri"/>
                <w:sz w:val="17"/>
              </w:rPr>
              <w:t xml:space="preserve">An accidentally arriving blanket still warms someone.</w:t>
            </w:r>
          </w:p>
        </w:tc>
      </w:tr>
      <w:tr>
        <w:tc>
          <w:tcPr>
            <w:tcW w:type="dxa" w:w="3312"/>
          </w:tcPr>
          <w:p>
            <w:pPr>
              <w:pStyle w:val="BodyText"/>
              <w:keepNext w:val="0"/>
              <w:spacing w:after="80" w:line="252" w:lineRule="auto"/>
              <w:jc w:val="left"/>
            </w:pPr>
            <w:r>
              <w:rPr>
                <w:rFonts w:ascii="Calibri" w:hAnsi="Calibri"/>
                <w:sz w:val="17"/>
              </w:rPr>
              <w:t xml:space="preserve">Actual action</w:t>
            </w:r>
          </w:p>
        </w:tc>
        <w:tc>
          <w:tcPr>
            <w:tcW w:type="dxa" w:w="3312"/>
          </w:tcPr>
          <w:p>
            <w:pPr>
              <w:pStyle w:val="BodyText"/>
              <w:keepNext w:val="0"/>
              <w:spacing w:after="80" w:line="252" w:lineRule="auto"/>
              <w:jc w:val="left"/>
            </w:pPr>
            <w:r>
              <w:rPr>
                <w:rFonts w:ascii="Calibri" w:hAnsi="Calibri"/>
                <w:sz w:val="17"/>
              </w:rPr>
              <w:t xml:space="preserve">A capacity or possible plan remains without an actual choice.</w:t>
            </w:r>
          </w:p>
        </w:tc>
        <w:tc>
          <w:tcPr>
            <w:tcW w:type="dxa" w:w="3312"/>
          </w:tcPr>
          <w:p>
            <w:pPr>
              <w:pStyle w:val="BodyText"/>
              <w:keepNext w:val="0"/>
              <w:spacing w:after="80" w:line="252" w:lineRule="auto"/>
              <w:jc w:val="left"/>
            </w:pPr>
            <w:r>
              <w:rPr>
                <w:rFonts w:ascii="Calibri" w:hAnsi="Calibri"/>
                <w:sz w:val="17"/>
              </w:rPr>
              <w:t xml:space="preserve">The same powers alone identify neither creation nor refraining.</w:t>
            </w:r>
          </w:p>
        </w:tc>
      </w:tr>
      <w:tr>
        <w:tc>
          <w:tcPr>
            <w:tcW w:type="dxa" w:w="3312"/>
          </w:tcPr>
          <w:p>
            <w:pPr>
              <w:pStyle w:val="BodyText"/>
              <w:keepNext w:val="0"/>
              <w:spacing w:after="80" w:line="252" w:lineRule="auto"/>
              <w:jc w:val="left"/>
            </w:pPr>
            <w:r>
              <w:rPr>
                <w:rFonts w:ascii="Calibri" w:hAnsi="Calibri"/>
                <w:sz w:val="17"/>
              </w:rPr>
              <w:t xml:space="preserve">Producing the intended outcome</w:t>
            </w:r>
          </w:p>
        </w:tc>
        <w:tc>
          <w:tcPr>
            <w:tcW w:type="dxa" w:w="3312"/>
          </w:tcPr>
          <w:p>
            <w:pPr>
              <w:pStyle w:val="BodyText"/>
              <w:keepNext w:val="0"/>
              <w:spacing w:after="80" w:line="252" w:lineRule="auto"/>
              <w:jc w:val="left"/>
            </w:pPr>
            <w:r>
              <w:rPr>
                <w:rFonts w:ascii="Calibri" w:hAnsi="Calibri"/>
                <w:sz w:val="17"/>
              </w:rPr>
              <w:t xml:space="preserve">An intention remains without success.</w:t>
            </w:r>
          </w:p>
        </w:tc>
        <w:tc>
          <w:tcPr>
            <w:tcW w:type="dxa" w:w="3312"/>
          </w:tcPr>
          <w:p>
            <w:pPr>
              <w:pStyle w:val="BodyText"/>
              <w:keepNext w:val="0"/>
              <w:spacing w:after="80" w:line="252" w:lineRule="auto"/>
              <w:jc w:val="left"/>
            </w:pPr>
            <w:r>
              <w:rPr>
                <w:rFonts w:ascii="Calibri" w:hAnsi="Calibri"/>
                <w:sz w:val="17"/>
              </w:rPr>
              <w:t xml:space="preserve">A planned gift may never arrive.</w:t>
            </w:r>
          </w:p>
        </w:tc>
      </w:tr>
      <w:tr>
        <w:tc>
          <w:tcPr>
            <w:tcW w:type="dxa" w:w="3312"/>
          </w:tcPr>
          <w:p>
            <w:pPr>
              <w:pStyle w:val="BodyText"/>
              <w:keepNext w:val="0"/>
              <w:spacing w:after="80" w:line="252" w:lineRule="auto"/>
              <w:jc w:val="left"/>
            </w:pPr>
            <w:r>
              <w:rPr>
                <w:rFonts w:ascii="Calibri" w:hAnsi="Calibri"/>
                <w:sz w:val="17"/>
              </w:rPr>
              <w:t xml:space="preserve">Access and justification</w:t>
            </w:r>
          </w:p>
        </w:tc>
        <w:tc>
          <w:tcPr>
            <w:tcW w:type="dxa" w:w="3312"/>
          </w:tcPr>
          <w:p>
            <w:pPr>
              <w:pStyle w:val="BodyText"/>
              <w:keepNext w:val="0"/>
              <w:spacing w:after="80" w:line="252" w:lineRule="auto"/>
              <w:jc w:val="left"/>
            </w:pPr>
            <w:r>
              <w:rPr>
                <w:rFonts w:ascii="Calibri" w:hAnsi="Calibri"/>
                <w:sz w:val="17"/>
              </w:rPr>
              <w:t xml:space="preserve">True content can remain without established knowledge.</w:t>
            </w:r>
          </w:p>
        </w:tc>
        <w:tc>
          <w:tcPr>
            <w:tcW w:type="dxa" w:w="3312"/>
          </w:tcPr>
          <w:p>
            <w:pPr>
              <w:pStyle w:val="BodyText"/>
              <w:keepNext w:val="0"/>
              <w:spacing w:after="80" w:line="252" w:lineRule="auto"/>
              <w:jc w:val="left"/>
            </w:pPr>
            <w:r>
              <w:rPr>
                <w:rFonts w:ascii="Calibri" w:hAnsi="Calibri"/>
                <w:sz w:val="17"/>
              </w:rPr>
              <w:t xml:space="preserve">A lucky guess is correct but unsupported.</w:t>
            </w:r>
          </w:p>
        </w:tc>
      </w:tr>
      <w:tr>
        <w:tc>
          <w:tcPr>
            <w:tcW w:type="dxa" w:w="3312"/>
          </w:tcPr>
          <w:p>
            <w:pPr>
              <w:pStyle w:val="BodyText"/>
              <w:keepNext w:val="0"/>
              <w:spacing w:after="80" w:line="252" w:lineRule="auto"/>
              <w:jc w:val="left"/>
            </w:pPr>
            <w:r>
              <w:rPr>
                <w:rFonts w:ascii="Calibri" w:hAnsi="Calibri"/>
                <w:sz w:val="17"/>
              </w:rPr>
              <w:t xml:space="preserve">Intrinsic invariance</w:t>
            </w:r>
          </w:p>
        </w:tc>
        <w:tc>
          <w:tcPr>
            <w:tcW w:type="dxa" w:w="3312"/>
          </w:tcPr>
          <w:p>
            <w:pPr>
              <w:pStyle w:val="BodyText"/>
              <w:keepNext w:val="0"/>
              <w:spacing w:after="80" w:line="252" w:lineRule="auto"/>
              <w:jc w:val="left"/>
            </w:pPr>
            <w:r>
              <w:rPr>
                <w:rFonts w:ascii="Calibri" w:hAnsi="Calibri"/>
                <w:sz w:val="17"/>
              </w:rPr>
              <w:t xml:space="preserve">An agent may have no proper parts while its intrinsic intentions differ across alternatives.</w:t>
            </w:r>
          </w:p>
        </w:tc>
        <w:tc>
          <w:tcPr>
            <w:tcW w:type="dxa" w:w="3312"/>
          </w:tcPr>
          <w:p>
            <w:pPr>
              <w:pStyle w:val="BodyText"/>
              <w:keepNext w:val="0"/>
              <w:spacing w:after="80" w:line="252" w:lineRule="auto"/>
              <w:jc w:val="left"/>
            </w:pPr>
            <w:r>
              <w:rPr>
                <w:rFonts w:ascii="Calibri" w:hAnsi="Calibri"/>
                <w:sz w:val="17"/>
              </w:rPr>
              <w:t xml:space="preserve">A rival rejects the claim that God remains intrinsically the same.</w:t>
            </w:r>
          </w:p>
        </w:tc>
      </w:tr>
    </w:tbl>
    <w:p>
      <w:pPr>
        <w:pStyle w:val="BodyText"/>
      </w:pPr>
      <w:r>
        <w:t xml:space="preserve">These are losses within the proposed explanation. They do not establish that no rival account could replace an omitted assumption.</w:t>
      </w:r>
    </w:p>
    <w:bookmarkEnd w:id="113"/>
    <w:p>
      <w:pPr>
        <w:pStyle w:val="BodyText"/>
      </w:pPr>
      <w:r>
        <w:t xml:space="preserve">Q&amp;A / DIRECT ANSWERS</w:t>
      </w:r>
    </w:p>
    <w:bookmarkStart w:id="114" w:name="questions-answers"/>
    <w:p>
      <w:pPr>
        <w:pStyle w:val="Heading2"/>
      </w:pPr>
      <w:r>
        <w:t xml:space="preserve">Questions &amp; answers</w:t>
      </w:r>
    </w:p>
    <w:p>
      <w:pPr>
        <w:pStyle w:val="FirstParagraph"/>
      </w:pPr>
      <w:r>
        <w:t xml:space="preserve">This intended creation, knowledge of actual action, and the significance of finite goods.</w:t>
      </w:r>
    </w:p>
    <w:bookmarkEnd w:id="114"/>
    <w:bookmarkStart w:id="123" w:name="X5a3f6bf76432bb43a071e4c9f6e55c44b79fc73"/>
    <w:p>
      <w:pPr>
        <w:pStyle w:val="Heading3"/>
      </w:pPr>
      <w:r>
        <w:t xml:space="preserve">07</w:t>
      </w:r>
      <w:r>
        <w:t xml:space="preserve"> </w:t>
      </w:r>
      <w:r>
        <w:t xml:space="preserve">/</w:t>
      </w:r>
      <w:r>
        <w:t xml:space="preserve"> </w:t>
      </w:r>
      <w:r>
        <w:t xml:space="preserve">What makes this creation God's actual intention without creation adding an intrinsic determination to God?</w:t>
      </w:r>
      <w:r>
        <w:t xml:space="preserve">+</w:t>
      </w:r>
    </w:p>
    <w:p>
      <w:pPr>
        <w:pStyle w:val="FirstParagraph"/>
      </w:pPr>
      <w:r>
        <w:t xml:space="preserve">The proposed answer is an actual intentional action directed toward this creation. The source understands the intended good and voluntarily exercises effective power toward it; the world receives the resulting actuality. This distinguishes the reason for acting, actual authorship, and successful production. The intention does explanatory work before the effect supplies its description, where before means explanatory priority rather than a temporal interval. A general creative capacity or the completed world's existence would not explain why this world was intended.</w:t>
      </w:r>
    </w:p>
    <w:p>
      <w:pPr>
        <w:pStyle w:val="BodyText"/>
      </w:pPr>
      <w:r>
        <w:t xml:space="preserve">This is a disputed compatibility proposal, not a result secured by calling the action relational. It must explain why that relation is genuine intentional agency rather than a new description attached to the outcome. A rival permits different intrinsic intentions across possibilities while denying parts or temporal acquisition. Noncomposition alone has not refuted it. The central burden is to defend determinate divine action with no difference in God's intrinsic actuality across those alternatives.</w:t>
      </w:r>
    </w:p>
    <w:bookmarkStart w:id="115" w:name="the-premises-behind-this-answer"/>
    <w:p>
      <w:pPr>
        <w:pStyle w:val="Heading3"/>
      </w:pPr>
      <w:r>
        <w:t xml:space="preserve">The premises behind this answer</w:t>
      </w:r>
    </w:p>
    <w:bookmarkEnd w:id="115"/>
    <w:bookmarkStart w:id="119" w:name="Xcc664fe26a6d7a9f0cf401e80e6343fcedc7f3c"/>
    <w:p>
      <w:pPr>
        <w:pStyle w:val="Heading3"/>
      </w:pPr>
      <w:r>
        <w:t xml:space="preserve">A relational account of intentional action</w:t>
      </w:r>
    </w:p>
    <w:p>
      <w:pPr>
        <w:pStyle w:val="FirstParagraph"/>
      </w:pPr>
      <w:r>
        <w:t xml:space="preserve">Adds a proposed account of real intentional direction while retaining the stronger claim of identical intrinsic actuality across alternatives. The relational ontology remains disputed.</w:t>
      </w:r>
    </w:p>
    <w:bookmarkStart w:id="116" w:name="adopt-these-premises"/>
    <w:p>
      <w:pPr>
        <w:pStyle w:val="Heading4"/>
      </w:pPr>
      <w:r>
        <w:t xml:space="preserve">Adopt these premises</w:t>
      </w:r>
    </w:p>
    <w:p>
      <w:pPr>
        <w:pStyle w:val="FirstParagraph"/>
      </w:pPr>
      <w:r>
        <w:rPr>
          <w:b/>
          <w:bCs/>
        </w:rPr>
        <w:t xml:space="preserve">1.</w:t>
      </w:r>
      <w:r>
        <w:t xml:space="preserve"> </w:t>
      </w:r>
      <w:r>
        <w:t xml:space="preserve">Actual voluntary action is an irreducible fact of an agent's reason-guided control, not just a power or an effect-description.</w:t>
      </w:r>
    </w:p>
    <w:p>
      <w:pPr>
        <w:pStyle w:val="BodyText"/>
      </w:pPr>
      <w:r>
        <w:rPr>
          <w:b/>
          <w:bCs/>
        </w:rPr>
        <w:t xml:space="preserve">2.</w:t>
      </w:r>
      <w:r>
        <w:t xml:space="preserve"> </w:t>
      </w:r>
      <w:r>
        <w:t xml:space="preserve">Its particular direction concerns understood possible content; successful production makes that content actual without the effect causing the intention.</w:t>
      </w:r>
    </w:p>
    <w:p>
      <w:pPr>
        <w:pStyle w:val="BodyText"/>
      </w:pPr>
      <w:r>
        <w:rPr>
          <w:b/>
          <w:bCs/>
        </w:rPr>
        <w:t xml:space="preserve">3.</w:t>
      </w:r>
      <w:r>
        <w:t xml:space="preserve"> </w:t>
      </w:r>
      <w:r>
        <w:t xml:space="preserve">Adopt the stronger commitment that God's intrinsic actuality is the same across creation alternatives.</w:t>
      </w:r>
    </w:p>
    <w:p>
      <w:pPr>
        <w:pStyle w:val="BodyText"/>
      </w:pPr>
      <w:r>
        <w:rPr>
          <w:b/>
          <w:bCs/>
        </w:rPr>
        <w:t xml:space="preserve">4.</w:t>
      </w:r>
      <w:r>
        <w:t xml:space="preserve"> </w:t>
      </w:r>
      <w:r>
        <w:t xml:space="preserve">A contingent creative intention can be genuinely determinate in the agent's real relation to understood content without any added or different intrinsic actuality in God.</w:t>
      </w:r>
    </w:p>
    <w:bookmarkEnd w:id="116"/>
    <w:bookmarkStart w:id="117" w:name="why-adopt-them"/>
    <w:p>
      <w:pPr>
        <w:pStyle w:val="Heading4"/>
      </w:pPr>
      <w:r>
        <w:t xml:space="preserve">Why adopt them?</w:t>
      </w:r>
    </w:p>
    <w:p>
      <w:pPr>
        <w:pStyle w:val="FirstParagraph"/>
      </w:pPr>
      <w:r>
        <w:t xml:space="preserve">The proposed relation includes agent, intended content, and actual control: identical physical effects can serve different intentions. It is the agent's action toward its object, not an independently existing intermediary. The agent explains its productive origin; reasons explain its purpose without uniquely necessitating it. With intrinsic sameness retained, the contingent difference is assigned to this actual intentional relation. Merely acquiring the description Creator would supply none of that control or direction. Across alternatives, the contingent difference belongs to the complete fact of the agent acting toward an intended object; the intended creature does not produce the agent's act.</w:t>
      </w:r>
    </w:p>
    <w:bookmarkEnd w:id="117"/>
    <w:bookmarkStart w:id="118" w:name="what-follows-if-they-hold"/>
    <w:p>
      <w:pPr>
        <w:pStyle w:val="Heading4"/>
      </w:pPr>
      <w:r>
        <w:t xml:space="preserve">What follows if they hold?</w:t>
      </w:r>
    </w:p>
    <w:p>
      <w:pPr>
        <w:pStyle w:val="FirstParagraph"/>
      </w:pPr>
      <w:r>
        <w:t xml:space="preserve">God's determinate willing can be treated as a real action whose relational content differs, without creation supplying divine actuality. Explanation stops at rational voluntary agency.</w:t>
      </w:r>
    </w:p>
    <w:p>
      <w:pPr>
        <w:pStyle w:val="BodyText"/>
      </w:pPr>
      <w:r>
        <w:rPr>
          <w:b/>
          <w:bCs/>
        </w:rPr>
        <w:t xml:space="preserve">What remains to defend.</w:t>
      </w:r>
      <w:r>
        <w:t xml:space="preserve"> </w:t>
      </w:r>
      <w:r>
        <w:t xml:space="preserve">The claim that real intentional direction involves no intrinsic difference is the disputed ontological addition. It must explain control rather than merely name an outcome. Noncomposition and the finite examples do not prove it; the intrinsic-intention rival remains open.</w:t>
      </w:r>
    </w:p>
    <w:bookmarkEnd w:id="118"/>
    <w:bookmarkEnd w:id="119"/>
    <w:p>
      <w:pPr>
        <w:pStyle w:val="BodyText"/>
      </w:pPr>
      <w:hyperlink r:id="rId120">
        <w:r>
          <w:rPr>
            <w:rStyle w:val="Hyperlink"/>
          </w:rPr>
          <w:t xml:space="preserve">The proposal and its rival</w:t>
        </w:r>
      </w:hyperlink>
      <w:r>
        <w:t xml:space="preserve"> </w:t>
      </w:r>
      <w:r>
        <w:t xml:space="preserve">|</w:t>
      </w:r>
      <w:r>
        <w:t xml:space="preserve"> </w:t>
      </w:r>
      <w:hyperlink r:id="rId121">
        <w:r>
          <w:rPr>
            <w:rStyle w:val="Hyperlink"/>
          </w:rPr>
          <w:t xml:space="preserve">Compare actions and outcomes</w:t>
        </w:r>
      </w:hyperlink>
      <w:r>
        <w:t xml:space="preserve"> </w:t>
      </w:r>
      <w:r>
        <w:t xml:space="preserve">|</w:t>
      </w:r>
      <w:r>
        <w:t xml:space="preserve"> </w:t>
      </w:r>
      <w:hyperlink r:id="rId122">
        <w:r>
          <w:rPr>
            <w:rStyle w:val="Hyperlink"/>
          </w:rPr>
          <w:t xml:space="preserve">Where the explanation stops</w:t>
        </w:r>
      </w:hyperlink>
    </w:p>
    <w:bookmarkEnd w:id="123"/>
    <w:bookmarkStart w:id="131" w:name="X4899424abf8793e1bee93ae2e461d8518d9b3cc"/>
    <w:p>
      <w:pPr>
        <w:pStyle w:val="Heading3"/>
      </w:pPr>
      <w:r>
        <w:t xml:space="preserve">08</w:t>
      </w:r>
      <w:r>
        <w:t xml:space="preserve"> </w:t>
      </w:r>
      <w:r>
        <w:t xml:space="preserve">/</w:t>
      </w:r>
      <w:r>
        <w:t xml:space="preserve"> </w:t>
      </w:r>
      <w:r>
        <w:t xml:space="preserve">How could God know what he actually wills and does without learning it from creation?</w:t>
      </w:r>
      <w:r>
        <w:t xml:space="preserve">+</w:t>
      </w:r>
    </w:p>
    <w:p>
      <w:pPr>
        <w:pStyle w:val="FirstParagraph"/>
      </w:pPr>
      <w:r>
        <w:t xml:space="preserve">Through knowledge of his own actual intelligent action, if that action and its effect are adequately disclosed to him. Knowing every possible plan is not yet knowing which action occurs. The proposal therefore adds warranted awareness of the actual action and its particular intention, understanding of its efficacy, and adequate grasp of what follows from those facts. On those conditions, the effect is known through the action producing it, rather than teaching God what happened.</w:t>
      </w:r>
    </w:p>
    <w:p>
      <w:pPr>
        <w:pStyle w:val="BodyText"/>
      </w:pPr>
      <w:r>
        <w:t xml:space="preserve">This accounts for effects adequately specified and disclosed in the productive intention. A permitted creaturely choice poses a further question: receiving power is not the same as God supplying that creature's intention. The page therefore considers an additional proposal of direct, non-receptive cognitive presence to the actual choice. Its truth can require that the choice really occur without the choice supplying God's cognitive actuality. Separating these relations removes a confusion; adequate cognitive access and, for future choices, an account of eternal knowledge still need their own defense.</w:t>
      </w:r>
    </w:p>
    <w:bookmarkStart w:id="124" w:name="the-premises-behind-this-answer-1"/>
    <w:p>
      <w:pPr>
        <w:pStyle w:val="Heading3"/>
      </w:pPr>
      <w:r>
        <w:t xml:space="preserve">The premises behind this answer</w:t>
      </w:r>
    </w:p>
    <w:bookmarkEnd w:id="124"/>
    <w:bookmarkStart w:id="128" w:name="Xca0a11276f2bf10505de7d7703ebf42a753c512"/>
    <w:p>
      <w:pPr>
        <w:pStyle w:val="Heading3"/>
      </w:pPr>
      <w:r>
        <w:t xml:space="preserve">Knowledge through one's intelligent action</w:t>
      </w:r>
    </w:p>
    <w:p>
      <w:pPr>
        <w:pStyle w:val="FirstParagraph"/>
      </w:pPr>
      <w:r>
        <w:t xml:space="preserve">Adds awareness of actual action, adequate disclosure of its effect, and epistemic warrant. Non-receptive access and infallible efficacy are further divine commitments.</w:t>
      </w:r>
    </w:p>
    <w:bookmarkStart w:id="125" w:name="adopt-these-premises-1"/>
    <w:p>
      <w:pPr>
        <w:pStyle w:val="Heading4"/>
      </w:pPr>
      <w:r>
        <w:t xml:space="preserve">Adopt these premises</w:t>
      </w:r>
    </w:p>
    <w:p>
      <w:pPr>
        <w:pStyle w:val="FirstParagraph"/>
      </w:pPr>
      <w:r>
        <w:rPr>
          <w:b/>
          <w:bCs/>
        </w:rPr>
        <w:t xml:space="preserve">1.</w:t>
      </w:r>
      <w:r>
        <w:t xml:space="preserve"> </w:t>
      </w:r>
      <w:r>
        <w:t xml:space="preserve">The source has accurate awareness of its actual action and determinate intention, without receiving cognitive actuality from the effect. Knowing possible plans alone is insufficient.</w:t>
      </w:r>
    </w:p>
    <w:p>
      <w:pPr>
        <w:pStyle w:val="BodyText"/>
      </w:pPr>
      <w:r>
        <w:rPr>
          <w:b/>
          <w:bCs/>
        </w:rPr>
        <w:t xml:space="preserve">2.</w:t>
      </w:r>
      <w:r>
        <w:t xml:space="preserve"> </w:t>
      </w:r>
      <w:r>
        <w:t xml:space="preserve">Its creative power infallibly realizes the intended content within the intention's scope, and the source has adequately warranted awareness of that connection between actual execution and successful realization.</w:t>
      </w:r>
    </w:p>
    <w:p>
      <w:pPr>
        <w:pStyle w:val="BodyText"/>
      </w:pPr>
      <w:r>
        <w:rPr>
          <w:b/>
          <w:bCs/>
        </w:rPr>
        <w:t xml:space="preserve">3.</w:t>
      </w:r>
      <w:r>
        <w:t xml:space="preserve"> </w:t>
      </w:r>
      <w:r>
        <w:t xml:space="preserve">The awareness has epistemic warrant through intelligent direction, competence, and adequate access, rather than lucky agreement with the outcome.</w:t>
      </w:r>
    </w:p>
    <w:p>
      <w:pPr>
        <w:pStyle w:val="BodyText"/>
      </w:pPr>
      <w:r>
        <w:rPr>
          <w:b/>
          <w:bCs/>
        </w:rPr>
        <w:t xml:space="preserve">4.</w:t>
      </w:r>
      <w:r>
        <w:t xml:space="preserve"> </w:t>
      </w:r>
      <w:r>
        <w:t xml:space="preserve">The source adequately grasps that actual execution and infallible efficacy entail the intended effect. This need not be a temporal process of inference.</w:t>
      </w:r>
    </w:p>
    <w:bookmarkEnd w:id="125"/>
    <w:bookmarkStart w:id="126" w:name="why-adopt-them-1"/>
    <w:p>
      <w:pPr>
        <w:pStyle w:val="Heading4"/>
      </w:pPr>
      <w:r>
        <w:t xml:space="preserve">Why adopt them?</w:t>
      </w:r>
    </w:p>
    <w:p>
      <w:pPr>
        <w:pStyle w:val="FirstParagraph"/>
      </w:pPr>
      <w:r>
        <w:t xml:space="preserve">An intention can guide production, rather than being inferred from the finished product. Awareness of actual execution, together with warranted knowledge of its efficacy, gives a positive route to knowing what is produced. The action explains the effect. Warranted awareness of actual execution and its assured efficacy, together with grasp of their implication, warrants the conclusion that the intended effect occurs. Truth depends on what actually happens without requiring the effect to actualize cognition. Dionysius's causal knowledge and Aquinas's knowing as cause joined to willing supply historical resources.</w:t>
      </w:r>
    </w:p>
    <w:bookmarkEnd w:id="126"/>
    <w:bookmarkStart w:id="127" w:name="what-follows-if-they-hold-1"/>
    <w:p>
      <w:pPr>
        <w:pStyle w:val="Heading4"/>
      </w:pPr>
      <w:r>
        <w:t xml:space="preserve">What follows if they hold?</w:t>
      </w:r>
    </w:p>
    <w:p>
      <w:pPr>
        <w:pStyle w:val="FirstParagraph"/>
      </w:pPr>
      <w:r>
        <w:t xml:space="preserve">On these premises, the source knows its creative action and disclosed effect without learning from that effect.</w:t>
      </w:r>
    </w:p>
    <w:p>
      <w:pPr>
        <w:pStyle w:val="BodyText"/>
      </w:pPr>
      <w:r>
        <w:rPr>
          <w:b/>
          <w:bCs/>
        </w:rPr>
        <w:t xml:space="preserve">What remains to defend.</w:t>
      </w:r>
      <w:r>
        <w:t xml:space="preserve"> </w:t>
      </w:r>
      <w:r>
        <w:t xml:space="preserve">Non-receptive access, infallible efficacy, adequate disclosure, and warrant are additional premises. Extending the account to permitted secondary choices requires a further cognitive relation to their actual exercise. Extending it to future contingents also requires an account of eternity or another defended basis of foreknowledge; neither follows from causal presence alone.</w:t>
      </w:r>
    </w:p>
    <w:bookmarkEnd w:id="127"/>
    <w:bookmarkEnd w:id="128"/>
    <w:p>
      <w:pPr>
        <w:pStyle w:val="BodyText"/>
      </w:pPr>
      <w:hyperlink r:id="rId129">
        <w:r>
          <w:rPr>
            <w:rStyle w:val="Hyperlink"/>
          </w:rPr>
          <w:t xml:space="preserve">Knowledge and its limits</w:t>
        </w:r>
      </w:hyperlink>
      <w:r>
        <w:t xml:space="preserve"> </w:t>
      </w:r>
      <w:r>
        <w:t xml:space="preserve">|</w:t>
      </w:r>
      <w:r>
        <w:t xml:space="preserve"> </w:t>
      </w:r>
      <w:hyperlink r:id="rId130">
        <w:r>
          <w:rPr>
            <w:rStyle w:val="Hyperlink"/>
          </w:rPr>
          <w:t xml:space="preserve">The separate epistemic premises</w:t>
        </w:r>
      </w:hyperlink>
    </w:p>
    <w:bookmarkEnd w:id="131"/>
    <w:bookmarkStart w:id="139" w:name="X88a2671390d5dfe512733dc07a69d7cdf582295"/>
    <w:p>
      <w:pPr>
        <w:pStyle w:val="Heading3"/>
      </w:pPr>
      <w:r>
        <w:t xml:space="preserve">09</w:t>
      </w:r>
      <w:r>
        <w:t xml:space="preserve"> </w:t>
      </w:r>
      <w:r>
        <w:t xml:space="preserve">/</w:t>
      </w:r>
      <w:r>
        <w:t xml:space="preserve"> </w:t>
      </w:r>
      <w:r>
        <w:t xml:space="preserve">If creation supplies nothing God needs, why do finite creatures and their histories matter?</w:t>
      </w:r>
      <w:r>
        <w:t xml:space="preserve">+</w:t>
      </w:r>
    </w:p>
    <w:p>
      <w:pPr>
        <w:pStyle w:val="FirstParagraph"/>
      </w:pPr>
      <w:r>
        <w:t xml:space="preserve">Because received reality and goodness remain real. Some finite conditions constitute particular goods: succession belongs to a melody; distinct speakers belong to conversation; a history allows a promise to be kept. Removing these conditions abolishes that particular good rather than perfecting it. By contrast, removing ignorance improves understanding. A third case is a good response to adversity: courage can be good in danger without making danger good. The test asks what the condition contributes, rather than treating every finite limit alike.</w:t>
      </w:r>
    </w:p>
    <w:p>
      <w:pPr>
        <w:pStyle w:val="BodyText"/>
      </w:pPr>
      <w:r>
        <w:t xml:space="preserve">Source independence therefore leaves creaturely achievement meaningful and creaturely harm serious. A friendship can begin without supplying God with a missing perfection; its good belongs truly to the friends. Communion adds knowing and loving to dependence and preserves the persons who enter it. Christian revelation identifies its promised consummation through Christ. Creation is fulfilled in God; it does not supply the final installment of divine completion. That claim neither justifies every injury nor turns all limitations into defects to be erased.</w:t>
      </w:r>
    </w:p>
    <w:bookmarkStart w:id="132" w:name="the-premises-behind-this-answer-2"/>
    <w:p>
      <w:pPr>
        <w:pStyle w:val="Heading3"/>
      </w:pPr>
      <w:r>
        <w:t xml:space="preserve">The premises behind this answer</w:t>
      </w:r>
    </w:p>
    <w:bookmarkEnd w:id="132"/>
    <w:bookmarkStart w:id="136" w:name="goods-constituted-by-finite-organization"/>
    <w:p>
      <w:pPr>
        <w:pStyle w:val="Heading3"/>
      </w:pPr>
      <w:r>
        <w:t xml:space="preserve">Goods constituted by finite organization</w:t>
      </w:r>
    </w:p>
    <w:p>
      <w:pPr>
        <w:pStyle w:val="FirstParagraph"/>
      </w:pPr>
      <w:r>
        <w:t xml:space="preserve">Adds a defended account of particular finite goods to the inherited causal and source principles.</w:t>
      </w:r>
    </w:p>
    <w:bookmarkStart w:id="133" w:name="adopt-these-premises-2"/>
    <w:p>
      <w:pPr>
        <w:pStyle w:val="Heading4"/>
      </w:pPr>
      <w:r>
        <w:t xml:space="preserve">Adopt these premises</w:t>
      </w:r>
    </w:p>
    <w:p>
      <w:pPr>
        <w:pStyle w:val="FirstParagraph"/>
      </w:pPr>
      <w:r>
        <w:rPr>
          <w:b/>
          <w:bCs/>
        </w:rPr>
        <w:t xml:space="preserve">1.</w:t>
      </w:r>
      <w:r>
        <w:t xml:space="preserve"> </w:t>
      </w:r>
      <w:r>
        <w:t xml:space="preserve">Realized goods have intelligible standards appropriate to their kind: proportion in a melody, mutual understanding in conversation, or faithful concern in friendship.</w:t>
      </w:r>
    </w:p>
    <w:p>
      <w:pPr>
        <w:pStyle w:val="BodyText"/>
      </w:pPr>
      <w:r>
        <w:rPr>
          <w:b/>
          <w:bCs/>
        </w:rPr>
        <w:t xml:space="preserve">2.</w:t>
      </w:r>
      <w:r>
        <w:t xml:space="preserve"> </w:t>
      </w:r>
      <w:r>
        <w:t xml:space="preserve">Some such goods require succession, proportion, distinct persons, or a particular history.</w:t>
      </w:r>
    </w:p>
    <w:p>
      <w:pPr>
        <w:pStyle w:val="BodyText"/>
      </w:pPr>
      <w:r>
        <w:rPr>
          <w:b/>
          <w:bCs/>
        </w:rPr>
        <w:t xml:space="preserve">3.</w:t>
      </w:r>
      <w:r>
        <w:t xml:space="preserve"> </w:t>
      </w:r>
      <w:r>
        <w:t xml:space="preserve">God can ground their actuality and positive content without possessing their finite constitutive form or receiving completion from them.</w:t>
      </w:r>
    </w:p>
    <w:bookmarkEnd w:id="133"/>
    <w:bookmarkStart w:id="134" w:name="why-adopt-them-2"/>
    <w:p>
      <w:pPr>
        <w:pStyle w:val="Heading4"/>
      </w:pPr>
      <w:r>
        <w:t xml:space="preserve">Why adopt them?</w:t>
      </w:r>
    </w:p>
    <w:p>
      <w:pPr>
        <w:pStyle w:val="FirstParagraph"/>
      </w:pPr>
      <w:r>
        <w:t xml:space="preserve">A melody loses its particular good if its ordered sequence becomes an undifferentiated instant; conversation loses dialogue if distinct speakers collapse into one. Finite conditions can therefore partly constitute a good instead of merely subtracting quantity from it. Augustine's passing words and Bonaventure's proportion illuminate this role of organization. Those standards can be assessed independently of whether God causes the example. Corresponding goodness need not exist in God as that same melody or conversation: causal adequacy preserves positive content with difference of mode.</w:t>
      </w:r>
    </w:p>
    <w:p>
      <w:pPr>
        <w:pStyle w:val="BodyText"/>
      </w:pPr>
      <w:r>
        <w:t xml:space="preserve">Ask whether removing a condition perfects the same good, abolishes that kind of good, or removes an adversity to which the good was a response. This distinguishes ignorance, musical succession, and danger. The goodness of courage or healing gives no permission to manufacture threats or illness.</w:t>
      </w:r>
    </w:p>
    <w:bookmarkEnd w:id="134"/>
    <w:bookmarkStart w:id="135" w:name="what-follows-if-they-hold-2"/>
    <w:p>
      <w:pPr>
        <w:pStyle w:val="Heading4"/>
      </w:pPr>
      <w:r>
        <w:t xml:space="preserve">What follows if they hold?</w:t>
      </w:r>
    </w:p>
    <w:p>
      <w:pPr>
        <w:pStyle w:val="FirstParagraph"/>
      </w:pPr>
      <w:r>
        <w:t xml:space="preserve">Created histories can contain genuinely new goods for creatures without improving God. Their particularity explains why this friendship or response matters.</w:t>
      </w:r>
    </w:p>
    <w:p>
      <w:pPr>
        <w:pStyle w:val="BodyText"/>
      </w:pPr>
      <w:r>
        <w:rPr>
          <w:b/>
          <w:bCs/>
        </w:rPr>
        <w:t xml:space="preserve">What remains to defend.</w:t>
      </w:r>
      <w:r>
        <w:t xml:space="preserve"> </w:t>
      </w:r>
      <w:r>
        <w:t xml:space="preserve">Particular goods need their own evaluative defense. This does not make every limitation good, justify injury, or establish a complete theodicy.</w:t>
      </w:r>
    </w:p>
    <w:bookmarkEnd w:id="135"/>
    <w:bookmarkEnd w:id="136"/>
    <w:p>
      <w:pPr>
        <w:pStyle w:val="BodyText"/>
      </w:pPr>
      <w:hyperlink r:id="rId137">
        <w:r>
          <w:rPr>
            <w:rStyle w:val="Hyperlink"/>
          </w:rPr>
          <w:t xml:space="preserve">How finite measure can constitute a good</w:t>
        </w:r>
      </w:hyperlink>
      <w:r>
        <w:t xml:space="preserve"> </w:t>
      </w:r>
      <w:r>
        <w:t xml:space="preserve">|</w:t>
      </w:r>
      <w:r>
        <w:t xml:space="preserve"> </w:t>
      </w:r>
      <w:hyperlink r:id="rId138">
        <w:r>
          <w:rPr>
            <w:rStyle w:val="Hyperlink"/>
          </w:rPr>
          <w:t xml:space="preserve">Ratzinger, Augustine, and Bonaventure</w:t>
        </w:r>
      </w:hyperlink>
    </w:p>
    <w:bookmarkEnd w:id="139"/>
    <w:p>
      <w:pPr>
        <w:pStyle w:val="BodyText"/>
      </w:pPr>
      <w:r>
        <w:t xml:space="preserve">For each answer, the expandable explanation states its premises, reasons to adopt them, positive consequences, and remaining commitments. Follow the links for the derivations, rival accounts, and source qualifications.</w:t>
      </w:r>
    </w:p>
    <w:p>
      <w:pPr>
        <w:pStyle w:val="BodyText"/>
      </w:pPr>
      <w:r>
        <w:t xml:space="preserve">11 / EVIDENCE</w:t>
      </w:r>
    </w:p>
    <w:bookmarkStart w:id="140" w:name="Xc3e244406f0de1a7238d2f58faa2e70d50e0518"/>
    <w:p>
      <w:pPr>
        <w:pStyle w:val="Heading2"/>
      </w:pPr>
      <w:r>
        <w:t xml:space="preserve">The source status is part of the argument</w:t>
      </w:r>
    </w:p>
    <w:p>
      <w:pPr>
        <w:pStyle w:val="FirstParagraph"/>
      </w:pPr>
      <w:r>
        <w:t xml:space="preserve">Exact loci, consultation history, and outstanding checks remain visible.</w:t>
      </w:r>
    </w:p>
    <w:bookmarkEnd w:id="140"/>
    <w:p>
      <w:pPr>
        <w:pStyle w:val="BodyText"/>
      </w:pPr>
      <w:r>
        <w:t xml:space="preserve">AUDITABLE SOURCES</w:t>
      </w:r>
    </w:p>
    <w:p>
      <w:pPr>
        <w:pStyle w:val="BodyText"/>
      </w:pPr>
      <w:r>
        <w:t xml:space="preserve">The supplied</w:t>
      </w:r>
      <w:r>
        <w:t xml:space="preserve"> </w:t>
      </w:r>
      <w:r>
        <w:rPr>
          <w:i/>
          <w:iCs/>
        </w:rPr>
        <w:t xml:space="preserve">Definitive Synthetic Edition</w:t>
      </w:r>
      <w:r>
        <w:t xml:space="preserve"> </w:t>
      </w:r>
      <w:r>
        <w:t xml:space="preserve">and</w:t>
      </w:r>
      <w:r>
        <w:t xml:space="preserve"> </w:t>
      </w:r>
      <w:r>
        <w:rPr>
          <w:i/>
          <w:iCs/>
        </w:rPr>
        <w:t xml:space="preserve">Working Philosophical Toolkit</w:t>
      </w:r>
      <w:r>
        <w:t xml:space="preserve"> </w:t>
      </w:r>
      <w:r>
        <w:t xml:space="preserve">guide this revision’s constructive architecture; they do not upgrade the consultation status of the historical sources. Fresh primary translations at CCEL support the Dionysian and Nazianzen passages. Bonaventure and Eriugena reuse the supplied manuscript’s primary register alongside fresh specialist comparison. Maximus’s Greek witness is provisional. Ratzinger’s encyclicals were consulted in unofficial transcripts of official English texts; comparison with the official text remains outstanding. These differences are not hidden behind a single “verified” label.</w:t>
      </w:r>
    </w:p>
    <w:p>
      <w:pPr>
        <w:pStyle w:val="BodyText"/>
      </w:pPr>
      <w:r>
        <w:t xml:space="preserve">fresh</w:t>
      </w:r>
    </w:p>
    <w:bookmarkStart w:id="141" w:name="gregory-nazianzen"/>
    <w:p>
      <w:pPr>
        <w:pStyle w:val="Heading3"/>
      </w:pPr>
      <w:r>
        <w:t xml:space="preserve">Gregory Nazianzen</w:t>
      </w:r>
    </w:p>
    <w:p>
      <w:pPr>
        <w:pStyle w:val="FirstParagraph"/>
      </w:pPr>
      <w:r>
        <w:t xml:space="preserve">Oration 29 (Third Theological Oration) · §16; NPNF second series VII, pp. 306–307</w:t>
      </w:r>
    </w:p>
    <w:p>
      <w:pPr>
        <w:pStyle w:val="BodyText"/>
      </w:pPr>
      <w:r>
        <w:t xml:space="preserve">Primary translation directly consulted this page. Charles Gordon Browne and James Edward Swallow, NPNF second series VII; CCEL transcription; no fresh Greek critical collation</w:t>
      </w:r>
    </w:p>
    <w:p>
      <w:pPr>
        <w:pStyle w:val="BodyText"/>
      </w:pPr>
      <w:r>
        <w:t xml:space="preserve">A category distinction: genuine personal difference need not imply different divine nature or created product</w:t>
      </w:r>
    </w:p>
    <w:p>
      <w:pPr>
        <w:pStyle w:val="BodyText"/>
      </w:pPr>
      <w:r>
        <w:t xml:space="preserve">Eternal personal origin does not establish a relational account of free divine action. The Son is begotten, not created; personal origin must not be equated with created dependence.</w:t>
      </w:r>
    </w:p>
    <w:p>
      <w:pPr>
        <w:pStyle w:val="BodyText"/>
      </w:pPr>
      <w:hyperlink r:id="rId92">
        <w:r>
          <w:rPr>
            <w:rStyle w:val="Hyperlink"/>
          </w:rPr>
          <w:t xml:space="preserve">Open source / orientation link →</w:t>
        </w:r>
      </w:hyperlink>
    </w:p>
    <w:p>
      <w:pPr>
        <w:pStyle w:val="BodyText"/>
      </w:pPr>
      <w:r>
        <w:t xml:space="preserve">fresh</w:t>
      </w:r>
    </w:p>
    <w:bookmarkEnd w:id="141"/>
    <w:bookmarkStart w:id="142" w:name="gregory-nazianzen-1"/>
    <w:p>
      <w:pPr>
        <w:pStyle w:val="Heading3"/>
      </w:pPr>
      <w:r>
        <w:t xml:space="preserve">Gregory Nazianzen</w:t>
      </w:r>
    </w:p>
    <w:p>
      <w:pPr>
        <w:pStyle w:val="FirstParagraph"/>
      </w:pPr>
      <w:r>
        <w:t xml:space="preserve">Oration 29 · §§6–8</w:t>
      </w:r>
    </w:p>
    <w:p>
      <w:pPr>
        <w:pStyle w:val="BodyText"/>
      </w:pPr>
      <w:r>
        <w:t xml:space="preserve">Primary translation directly consulted this page. Browne/Swallow, NPNF second series VII; CCEL</w:t>
      </w:r>
    </w:p>
    <w:p>
      <w:pPr>
        <w:pStyle w:val="BodyText"/>
      </w:pPr>
      <w:r>
        <w:t xml:space="preserve">A warning against treating willing as an object between God and the act, or confusing generation with creation</w:t>
      </w:r>
    </w:p>
    <w:p>
      <w:pPr>
        <w:pStyle w:val="BodyText"/>
      </w:pPr>
      <w:r>
        <w:t xml:space="preserve">The argument against Eunomius concerns generation, rather than a complete modern account of free creation. Editorial notes are not Gregory’s words.</w:t>
      </w:r>
    </w:p>
    <w:p>
      <w:pPr>
        <w:pStyle w:val="BodyText"/>
      </w:pPr>
      <w:hyperlink r:id="rId92">
        <w:r>
          <w:rPr>
            <w:rStyle w:val="Hyperlink"/>
          </w:rPr>
          <w:t xml:space="preserve">Open source / orientation link →</w:t>
        </w:r>
      </w:hyperlink>
    </w:p>
    <w:p>
      <w:pPr>
        <w:pStyle w:val="BodyText"/>
      </w:pPr>
      <w:r>
        <w:t xml:space="preserve">fresh</w:t>
      </w:r>
    </w:p>
    <w:bookmarkEnd w:id="142"/>
    <w:bookmarkStart w:id="144" w:name="pseudo-dionysius"/>
    <w:p>
      <w:pPr>
        <w:pStyle w:val="Heading3"/>
      </w:pPr>
      <w:r>
        <w:t xml:space="preserve">Pseudo-Dionysius</w:t>
      </w:r>
    </w:p>
    <w:p>
      <w:pPr>
        <w:pStyle w:val="FirstParagraph"/>
      </w:pPr>
      <w:r>
        <w:t xml:space="preserve">Divine Names · II.5; Rolt pp. 71–73</w:t>
      </w:r>
    </w:p>
    <w:p>
      <w:pPr>
        <w:pStyle w:val="BodyText"/>
      </w:pPr>
      <w:r>
        <w:t xml:space="preserve">Primary translation directly consulted this page. C. E. Rolt (1920), CCEL; older reliable historical translation, not newly collated against Luibheid/Rorem</w:t>
      </w:r>
    </w:p>
    <w:p>
      <w:pPr>
        <w:pStyle w:val="BodyText"/>
      </w:pPr>
      <w:r>
        <w:t xml:space="preserve">Recipient variation does not entail corresponding partition or alteration of source</w:t>
      </w:r>
    </w:p>
    <w:p>
      <w:pPr>
        <w:pStyle w:val="BodyText"/>
      </w:pPr>
      <w:r>
        <w:t xml:space="preserve">A seal has intrinsic pattern; receptor analogy is not a simplicity proof or explanation of free choice; God exceeds the analogy</w:t>
      </w:r>
    </w:p>
    <w:p>
      <w:pPr>
        <w:pStyle w:val="BodyText"/>
      </w:pPr>
      <w:hyperlink r:id="rId143">
        <w:r>
          <w:rPr>
            <w:rStyle w:val="Hyperlink"/>
          </w:rPr>
          <w:t xml:space="preserve">Open source / orientation link →</w:t>
        </w:r>
      </w:hyperlink>
    </w:p>
    <w:p>
      <w:pPr>
        <w:pStyle w:val="BodyText"/>
      </w:pPr>
      <w:r>
        <w:t xml:space="preserve">fresh</w:t>
      </w:r>
    </w:p>
    <w:bookmarkEnd w:id="144"/>
    <w:bookmarkStart w:id="146" w:name="pseudo-dionysius-1"/>
    <w:p>
      <w:pPr>
        <w:pStyle w:val="Heading3"/>
      </w:pPr>
      <w:r>
        <w:t xml:space="preserve">Pseudo-Dionysius</w:t>
      </w:r>
    </w:p>
    <w:p>
      <w:pPr>
        <w:pStyle w:val="FirstParagraph"/>
      </w:pPr>
      <w:r>
        <w:t xml:space="preserve">Divine Names · V.8; Rolt pp. 139–141</w:t>
      </w:r>
    </w:p>
    <w:p>
      <w:pPr>
        <w:pStyle w:val="BodyText"/>
      </w:pPr>
      <w:r>
        <w:t xml:space="preserve">Primary translation directly consulted this page. C. E. Rolt (1920), CCEL; editorial commentary separated</w:t>
      </w:r>
    </w:p>
    <w:p>
      <w:pPr>
        <w:pStyle w:val="BodyText"/>
      </w:pPr>
      <w:r>
        <w:t xml:space="preserve">Positive intelligible differentiation in relation to one source</w:t>
      </w:r>
    </w:p>
    <w:p>
      <w:pPr>
        <w:pStyle w:val="BodyText"/>
      </w:pPr>
      <w:r>
        <w:t xml:space="preserve">Plural exemplars or divine wills do not by themselves prove alternative created outcomes, or establish that divine intentions differ only relationally</w:t>
      </w:r>
    </w:p>
    <w:p>
      <w:pPr>
        <w:pStyle w:val="BodyText"/>
      </w:pPr>
      <w:hyperlink r:id="rId145">
        <w:r>
          <w:rPr>
            <w:rStyle w:val="Hyperlink"/>
          </w:rPr>
          <w:t xml:space="preserve">Open source / orientation link →</w:t>
        </w:r>
      </w:hyperlink>
    </w:p>
    <w:p>
      <w:pPr>
        <w:pStyle w:val="BodyText"/>
      </w:pPr>
      <w:r>
        <w:t xml:space="preserve">fresh</w:t>
      </w:r>
    </w:p>
    <w:bookmarkEnd w:id="146"/>
    <w:bookmarkStart w:id="147" w:name="pseudo-dionysius-2"/>
    <w:p>
      <w:pPr>
        <w:pStyle w:val="Heading3"/>
      </w:pPr>
      <w:r>
        <w:t xml:space="preserve">Pseudo-Dionysius</w:t>
      </w:r>
    </w:p>
    <w:p>
      <w:pPr>
        <w:pStyle w:val="FirstParagraph"/>
      </w:pPr>
      <w:r>
        <w:t xml:space="preserve">Divine Names · VII.2–3; Rolt pp. 149–153</w:t>
      </w:r>
    </w:p>
    <w:p>
      <w:pPr>
        <w:pStyle w:val="BodyText"/>
      </w:pPr>
      <w:r>
        <w:t xml:space="preserve">Primary translation directly consulted this page. C. E. Rolt (1920), CCEL; editorial commentary separated</w:t>
      </w:r>
    </w:p>
    <w:p>
      <w:pPr>
        <w:pStyle w:val="BodyText"/>
      </w:pPr>
      <w:r>
        <w:t xml:space="preserve">Different effects, God’s knowledge, and a recipient’s acquired knowledge require distinct accounts</w:t>
      </w:r>
    </w:p>
    <w:p>
      <w:pPr>
        <w:pStyle w:val="BodyText"/>
      </w:pPr>
      <w:r>
        <w:t xml:space="preserve">Does not independently explain choice between possible creations, or knowledge of permitted creaturely decisions. Rolt’s editorial comments about being beyond personality are not adopted.</w:t>
      </w:r>
    </w:p>
    <w:p>
      <w:pPr>
        <w:pStyle w:val="BodyText"/>
      </w:pPr>
      <w:hyperlink r:id="rId80">
        <w:r>
          <w:rPr>
            <w:rStyle w:val="Hyperlink"/>
          </w:rPr>
          <w:t xml:space="preserve">Open source / orientation link →</w:t>
        </w:r>
      </w:hyperlink>
    </w:p>
    <w:p>
      <w:pPr>
        <w:pStyle w:val="BodyText"/>
      </w:pPr>
      <w:r>
        <w:t xml:space="preserve">fresh</w:t>
      </w:r>
    </w:p>
    <w:bookmarkEnd w:id="147"/>
    <w:bookmarkStart w:id="149" w:name="pseudo-dionysius-3"/>
    <w:p>
      <w:pPr>
        <w:pStyle w:val="Heading3"/>
      </w:pPr>
      <w:r>
        <w:t xml:space="preserve">Pseudo-Dionysius</w:t>
      </w:r>
    </w:p>
    <w:p>
      <w:pPr>
        <w:pStyle w:val="FirstParagraph"/>
      </w:pPr>
      <w:r>
        <w:t xml:space="preserve">Divine Names · IX.6–7; Rolt pp. 166–167</w:t>
      </w:r>
    </w:p>
    <w:p>
      <w:pPr>
        <w:pStyle w:val="BodyText"/>
      </w:pPr>
      <w:r>
        <w:t xml:space="preserve">Primary translation directly consulted this page. C. E. Rolt (1920), CCEL</w:t>
      </w:r>
    </w:p>
    <w:p>
      <w:pPr>
        <w:pStyle w:val="BodyText"/>
      </w:pPr>
      <w:r>
        <w:t xml:space="preserve">Meaningful likeness does not require a shared nature</w:t>
      </w:r>
    </w:p>
    <w:p>
      <w:pPr>
        <w:pStyle w:val="BodyText"/>
      </w:pPr>
      <w:r>
        <w:t xml:space="preserve">Does not prove that every effect resembles its cause in every respect</w:t>
      </w:r>
    </w:p>
    <w:p>
      <w:pPr>
        <w:pStyle w:val="BodyText"/>
      </w:pPr>
      <w:hyperlink r:id="rId148">
        <w:r>
          <w:rPr>
            <w:rStyle w:val="Hyperlink"/>
          </w:rPr>
          <w:t xml:space="preserve">Open source / orientation link →</w:t>
        </w:r>
      </w:hyperlink>
    </w:p>
    <w:p>
      <w:pPr>
        <w:pStyle w:val="BodyText"/>
      </w:pPr>
      <w:r>
        <w:t xml:space="preserve">fresh</w:t>
      </w:r>
    </w:p>
    <w:bookmarkEnd w:id="149"/>
    <w:bookmarkStart w:id="150" w:name="gregory-of-nyssa"/>
    <w:p>
      <w:pPr>
        <w:pStyle w:val="Heading3"/>
      </w:pPr>
      <w:r>
        <w:t xml:space="preserve">Gregory of Nyssa</w:t>
      </w:r>
    </w:p>
    <w:p>
      <w:pPr>
        <w:pStyle w:val="FirstParagraph"/>
      </w:pPr>
      <w:r>
        <w:t xml:space="preserve">On the Making of Man · XVI</w:t>
      </w:r>
    </w:p>
    <w:p>
      <w:pPr>
        <w:pStyle w:val="BodyText"/>
      </w:pPr>
      <w:r>
        <w:t xml:space="preserve">Primary translation reconsulted from original project. William Moore and Henry Austin Wilson, NPNF second series V; Standard Ebooks transcription with scan-check provenance</w:t>
      </w:r>
    </w:p>
    <w:p>
      <w:pPr>
        <w:pStyle w:val="BodyText"/>
      </w:pPr>
      <w:r>
        <w:t xml:space="preserve">Created limitations need not limit the source; receiving rational agency is compatible with voluntary action</w:t>
      </w:r>
    </w:p>
    <w:p>
      <w:pPr>
        <w:pStyle w:val="BodyText"/>
      </w:pPr>
      <w:r>
        <w:t xml:space="preserve">Speculative anthropology is not a universally established metaphysical principle. The Life of Moses passages on infinity were not newly read.</w:t>
      </w:r>
    </w:p>
    <w:p>
      <w:pPr>
        <w:pStyle w:val="BodyText"/>
      </w:pPr>
      <w:hyperlink r:id="rId90">
        <w:r>
          <w:rPr>
            <w:rStyle w:val="Hyperlink"/>
          </w:rPr>
          <w:t xml:space="preserve">Open source / orientation link →</w:t>
        </w:r>
      </w:hyperlink>
    </w:p>
    <w:p>
      <w:pPr>
        <w:pStyle w:val="BodyText"/>
      </w:pPr>
      <w:r>
        <w:t xml:space="preserve">provisional</w:t>
      </w:r>
    </w:p>
    <w:bookmarkEnd w:id="150"/>
    <w:bookmarkStart w:id="151" w:name="maximus-the-confessor"/>
    <w:p>
      <w:pPr>
        <w:pStyle w:val="Heading3"/>
      </w:pPr>
      <w:r>
        <w:t xml:space="preserve">Maximus the Confessor</w:t>
      </w:r>
    </w:p>
    <w:p>
      <w:pPr>
        <w:pStyle w:val="FirstParagraph"/>
      </w:pPr>
      <w:r>
        <w:t xml:space="preserve">Ambiguum 7 · PG 91, 1077–1081, transcription ΠΡ 2.11–2.16; knowledge passage ΠΡ 2.20 within columns 1085–1088</w:t>
      </w:r>
    </w:p>
    <w:p>
      <w:pPr>
        <w:pStyle w:val="BodyText"/>
      </w:pPr>
      <w:r>
        <w:t xml:space="preserve">Provisional Greek primary witness reconsulted; modern reliable edition collation outstanding. Undocumented Greek transcription; consult Nicholas Constas, Ambigua (2014) for critical control</w:t>
      </w:r>
    </w:p>
    <w:p>
      <w:pPr>
        <w:pStyle w:val="BodyText"/>
      </w:pPr>
      <w:r>
        <w:t xml:space="preserve">Intelligibility and realized history are distinct; temporal realization need not imply acquired divine knowledge</w:t>
      </w:r>
    </w:p>
    <w:p>
      <w:pPr>
        <w:pStyle w:val="BodyText"/>
      </w:pPr>
      <w:r>
        <w:t xml:space="preserve">No English quotation is attributed to Constas. The text does not establish that divine intentions differ only relationally, prove alternative creations, or eliminate historical disagreements.</w:t>
      </w:r>
    </w:p>
    <w:p>
      <w:pPr>
        <w:pStyle w:val="BodyText"/>
      </w:pPr>
      <w:hyperlink r:id="rId87">
        <w:r>
          <w:rPr>
            <w:rStyle w:val="Hyperlink"/>
          </w:rPr>
          <w:t xml:space="preserve">Open source / orientation link →</w:t>
        </w:r>
      </w:hyperlink>
    </w:p>
    <w:p>
      <w:pPr>
        <w:pStyle w:val="BodyText"/>
      </w:pPr>
      <w:r>
        <w:t xml:space="preserve">inherited</w:t>
      </w:r>
    </w:p>
    <w:bookmarkEnd w:id="151"/>
    <w:bookmarkStart w:id="152" w:name="bonaventure"/>
    <w:p>
      <w:pPr>
        <w:pStyle w:val="Heading3"/>
      </w:pPr>
      <w:r>
        <w:t xml:space="preserve">Bonaventure</w:t>
      </w:r>
    </w:p>
    <w:p>
      <w:pPr>
        <w:pStyle w:val="FirstParagraph"/>
      </w:pPr>
      <w:r>
        <w:t xml:space="preserve">Commentary on the First Book of Sentences · I Sent., d. 8, p. II, a. un., q. 1, arguments 1–2 (inherited register B12)</w:t>
      </w:r>
    </w:p>
    <w:p>
      <w:pPr>
        <w:pStyle w:val="BodyText"/>
      </w:pPr>
      <w:r>
        <w:t xml:space="preserve">Inherited primary audit; not freshly critical-collated. URL is specialist orientation, not the Latin witness.. Opera omnia, vol. I, Quaracchi, 1882; Latin transcription audit inherited from Being-First. English quotation is manuscript working translation.</w:t>
      </w:r>
    </w:p>
    <w:p>
      <w:pPr>
        <w:pStyle w:val="BodyText"/>
      </w:pPr>
      <w:r>
        <w:t xml:space="preserve">Arguments from firstness and essential perfection help test dependence on constituents; different attributes need not be parts of perfection.</w:t>
      </w:r>
    </w:p>
    <w:p>
      <w:pPr>
        <w:pStyle w:val="BodyText"/>
      </w:pPr>
      <w:r>
        <w:t xml:space="preserve">Does not identify God with every known object or relation to a creature. The modern argument from dependence on constituents is a reconstruction.</w:t>
      </w:r>
    </w:p>
    <w:p>
      <w:pPr>
        <w:pStyle w:val="BodyText"/>
      </w:pPr>
      <w:hyperlink r:id="rId77">
        <w:r>
          <w:rPr>
            <w:rStyle w:val="Hyperlink"/>
          </w:rPr>
          <w:t xml:space="preserve">Open source / orientation link →</w:t>
        </w:r>
      </w:hyperlink>
    </w:p>
    <w:p>
      <w:pPr>
        <w:pStyle w:val="BodyText"/>
      </w:pPr>
      <w:r>
        <w:t xml:space="preserve">inherited</w:t>
      </w:r>
    </w:p>
    <w:bookmarkEnd w:id="152"/>
    <w:bookmarkStart w:id="153" w:name="bonaventure-1"/>
    <w:p>
      <w:pPr>
        <w:pStyle w:val="Heading3"/>
      </w:pPr>
      <w:r>
        <w:t xml:space="preserve">Bonaventure</w:t>
      </w:r>
    </w:p>
    <w:p>
      <w:pPr>
        <w:pStyle w:val="FirstParagraph"/>
      </w:pPr>
      <w:r>
        <w:t xml:space="preserve">Commentary on the First Book of Sentences · I Sent., d. 8, p. II, a. un., q. 1, ad 1 (inherited register B13)</w:t>
      </w:r>
    </w:p>
    <w:p>
      <w:pPr>
        <w:pStyle w:val="BodyText"/>
      </w:pPr>
      <w:r>
        <w:t xml:space="preserve">Inherited primary audit; URL is specialist orientation.. Opera omnia, vol. I, Quaracchi, 1882; working English translation in supplied manuscript.</w:t>
      </w:r>
    </w:p>
    <w:p>
      <w:pPr>
        <w:pStyle w:val="BodyText"/>
      </w:pPr>
      <w:r>
        <w:t xml:space="preserve">Positive fullness rather than deficient featurelessness; the immediate communication argument is Trinitarian.</w:t>
      </w:r>
    </w:p>
    <w:p>
      <w:pPr>
        <w:pStyle w:val="BodyText"/>
      </w:pPr>
      <w:r>
        <w:t xml:space="preserve">Does not entail that this world or any created world necessarily exists. Nonreception alone does not establish fullness.</w:t>
      </w:r>
    </w:p>
    <w:p>
      <w:pPr>
        <w:pStyle w:val="BodyText"/>
      </w:pPr>
      <w:hyperlink r:id="rId77">
        <w:r>
          <w:rPr>
            <w:rStyle w:val="Hyperlink"/>
          </w:rPr>
          <w:t xml:space="preserve">Open source / orientation link →</w:t>
        </w:r>
      </w:hyperlink>
    </w:p>
    <w:p>
      <w:pPr>
        <w:pStyle w:val="BodyText"/>
      </w:pPr>
      <w:r>
        <w:t xml:space="preserve">inherited</w:t>
      </w:r>
    </w:p>
    <w:bookmarkEnd w:id="153"/>
    <w:bookmarkStart w:id="154" w:name="bonaventure-2"/>
    <w:p>
      <w:pPr>
        <w:pStyle w:val="Heading3"/>
      </w:pPr>
      <w:r>
        <w:t xml:space="preserve">Bonaventure</w:t>
      </w:r>
    </w:p>
    <w:p>
      <w:pPr>
        <w:pStyle w:val="FirstParagraph"/>
      </w:pPr>
      <w:r>
        <w:t xml:space="preserve">Commentary on the First Book of Sentences · I Sent., d. 8, p. II, a. un., q. 1, ad 2 (inherited register B13)</w:t>
      </w:r>
    </w:p>
    <w:p>
      <w:pPr>
        <w:pStyle w:val="BodyText"/>
      </w:pPr>
      <w:r>
        <w:t xml:space="preserve">Inherited primary audit; paraphrase of manuscript source discussion, no new critical collation.. Opera omnia, vol. I, Quaracchi, 1882; prior manuscript Latin-transcription audit.</w:t>
      </w:r>
    </w:p>
    <w:p>
      <w:pPr>
        <w:pStyle w:val="BodyText"/>
      </w:pPr>
      <w:r>
        <w:t xml:space="preserve">Theologically affirmed personal origins need not be added parts that constitute divine perfection.</w:t>
      </w:r>
    </w:p>
    <w:p>
      <w:pPr>
        <w:pStyle w:val="BodyText"/>
      </w:pPr>
      <w:r>
        <w:t xml:space="preserve">Trinitarian personal origin, created dependence, and free creative action need distinct accounts. This argument neither proves the Trinity nor explains every condition of free divine action.</w:t>
      </w:r>
    </w:p>
    <w:p>
      <w:pPr>
        <w:pStyle w:val="BodyText"/>
      </w:pPr>
      <w:hyperlink r:id="rId77">
        <w:r>
          <w:rPr>
            <w:rStyle w:val="Hyperlink"/>
          </w:rPr>
          <w:t xml:space="preserve">Open source / orientation link →</w:t>
        </w:r>
      </w:hyperlink>
    </w:p>
    <w:p>
      <w:pPr>
        <w:pStyle w:val="BodyText"/>
      </w:pPr>
      <w:r>
        <w:t xml:space="preserve">inherited</w:t>
      </w:r>
    </w:p>
    <w:bookmarkEnd w:id="154"/>
    <w:bookmarkStart w:id="155" w:name="bonaventure-3"/>
    <w:p>
      <w:pPr>
        <w:pStyle w:val="Heading3"/>
      </w:pPr>
      <w:r>
        <w:t xml:space="preserve">Bonaventure</w:t>
      </w:r>
    </w:p>
    <w:p>
      <w:pPr>
        <w:pStyle w:val="FirstParagraph"/>
      </w:pPr>
      <w:r>
        <w:t xml:space="preserve">Itinerarium mentis in Deum · II.10 (inherited register N6)</w:t>
      </w:r>
    </w:p>
    <w:p>
      <w:pPr>
        <w:pStyle w:val="BodyText"/>
      </w:pPr>
      <w:r>
        <w:t xml:space="preserve">Inherited primary quotation; Latin Library access failed on this pass, no new critical collation.. Opera omnia, vol. V, Quaracchi, 1891; manuscript working English translation of Latin Library transcription.</w:t>
      </w:r>
    </w:p>
    <w:p>
      <w:pPr>
        <w:pStyle w:val="BodyText"/>
      </w:pPr>
      <w:r>
        <w:t xml:space="preserve">A historical resource for finite measure as a positive condition of an achieved good.</w:t>
      </w:r>
    </w:p>
    <w:p>
      <w:pPr>
        <w:pStyle w:val="BodyText"/>
      </w:pPr>
      <w:r>
        <w:t xml:space="preserve">Melody, learning, and finite-history tests are constructive extensions; does not show every finite limitation or loss is good.</w:t>
      </w:r>
    </w:p>
    <w:p>
      <w:pPr>
        <w:pStyle w:val="BodyText"/>
      </w:pPr>
      <w:hyperlink r:id="rId77">
        <w:r>
          <w:rPr>
            <w:rStyle w:val="Hyperlink"/>
          </w:rPr>
          <w:t xml:space="preserve">Open source / orientation link →</w:t>
        </w:r>
      </w:hyperlink>
    </w:p>
    <w:p>
      <w:pPr>
        <w:pStyle w:val="BodyText"/>
      </w:pPr>
      <w:r>
        <w:t xml:space="preserve">secondary</w:t>
      </w:r>
    </w:p>
    <w:bookmarkEnd w:id="155"/>
    <w:bookmarkStart w:id="156" w:name="tim-noone-and-r.-e.-houser"/>
    <w:p>
      <w:pPr>
        <w:pStyle w:val="Heading3"/>
      </w:pPr>
      <w:r>
        <w:t xml:space="preserve">Tim Noone and R. E. Houser</w:t>
      </w:r>
    </w:p>
    <w:p>
      <w:pPr>
        <w:pStyle w:val="FirstParagraph"/>
      </w:pPr>
      <w:r>
        <w:t xml:space="preserve">Bonaventure, Stanford Encyclopedia of Philosophy · §5 opening; §5.2 participation/aitiological argument; selected truth discussion</w:t>
      </w:r>
    </w:p>
    <w:p>
      <w:pPr>
        <w:pStyle w:val="BodyText"/>
      </w:pPr>
      <w:r>
        <w:t xml:space="preserve">Fresh publisher consultation of selected passages, 12 October 2026.. Substantive revision 16 August 2023; current publisher text.</w:t>
      </w:r>
    </w:p>
    <w:p>
      <w:pPr>
        <w:pStyle w:val="BodyText"/>
      </w:pPr>
      <w:r>
        <w:t xml:space="preserve">Supplies Hexaëmeron 6.1 (Quaracchi V:360) and 1.13 (V:331), and a specialist account of participation and transcendental versus categorical attributes.</w:t>
      </w:r>
    </w:p>
    <w:p>
      <w:pPr>
        <w:pStyle w:val="BodyText"/>
      </w:pPr>
      <w:r>
        <w:t xml:space="preserve">Those Hexaëmeron primary loci were secondary-located, not freshly collated; the article interpretation does not establish the proposed account of divine agency.</w:t>
      </w:r>
    </w:p>
    <w:p>
      <w:pPr>
        <w:pStyle w:val="BodyText"/>
      </w:pPr>
      <w:hyperlink r:id="rId77">
        <w:r>
          <w:rPr>
            <w:rStyle w:val="Hyperlink"/>
          </w:rPr>
          <w:t xml:space="preserve">Open source / orientation link →</w:t>
        </w:r>
      </w:hyperlink>
    </w:p>
    <w:p>
      <w:pPr>
        <w:pStyle w:val="BodyText"/>
      </w:pPr>
      <w:r>
        <w:t xml:space="preserve">inherited</w:t>
      </w:r>
    </w:p>
    <w:bookmarkEnd w:id="156"/>
    <w:bookmarkStart w:id="157" w:name="john-scottus-eriugena"/>
    <w:p>
      <w:pPr>
        <w:pStyle w:val="Heading3"/>
      </w:pPr>
      <w:r>
        <w:t xml:space="preserve">John Scottus Eriugena</w:t>
      </w:r>
    </w:p>
    <w:p>
      <w:pPr>
        <w:pStyle w:val="FirstParagraph"/>
      </w:pPr>
      <w:r>
        <w:t xml:space="preserve">Periphyseon (The Division of Nature) · I.446D; printed p. 31; inherited manuscript register E11 (inherited register E11)</w:t>
      </w:r>
    </w:p>
    <w:p>
      <w:pPr>
        <w:pStyle w:val="BodyText"/>
      </w:pPr>
      <w:r>
        <w:t xml:space="preserve">Inherited supplied primary translation; no new critical Latin collation. URL is specialist orientation.. Translated by I. P. Sheldon-Williams, revised by John J. O’Meara, Bellarmin/Dumbarton Oaks, 1987.</w:t>
      </w:r>
    </w:p>
    <w:p>
      <w:pPr>
        <w:pStyle w:val="BodyText"/>
      </w:pPr>
      <w:r>
        <w:t xml:space="preserve">A distinction between the source and how it appears, relevant to the recipient’s conditions.</w:t>
      </w:r>
    </w:p>
    <w:p>
      <w:pPr>
        <w:pStyle w:val="BodyText"/>
      </w:pPr>
      <w:r>
        <w:t xml:space="preserve">Does not cancel the stronger God–creature unity passages or by itself explain divine self-knowledge.</w:t>
      </w:r>
    </w:p>
    <w:p>
      <w:pPr>
        <w:pStyle w:val="BodyText"/>
      </w:pPr>
      <w:hyperlink r:id="rId84">
        <w:r>
          <w:rPr>
            <w:rStyle w:val="Hyperlink"/>
          </w:rPr>
          <w:t xml:space="preserve">Open source / orientation link →</w:t>
        </w:r>
      </w:hyperlink>
    </w:p>
    <w:p>
      <w:pPr>
        <w:pStyle w:val="BodyText"/>
      </w:pPr>
      <w:r>
        <w:t xml:space="preserve">inherited</w:t>
      </w:r>
    </w:p>
    <w:bookmarkEnd w:id="157"/>
    <w:bookmarkStart w:id="158" w:name="john-scottus-eriugena-1"/>
    <w:p>
      <w:pPr>
        <w:pStyle w:val="Heading3"/>
      </w:pPr>
      <w:r>
        <w:t xml:space="preserve">John Scottus Eriugena</w:t>
      </w:r>
    </w:p>
    <w:p>
      <w:pPr>
        <w:pStyle w:val="FirstParagraph"/>
      </w:pPr>
      <w:r>
        <w:t xml:space="preserve">Periphyseon (The Division of Nature) · I.454B–C; printed p. 40; inherited manuscript register E4 (inherited register E4)</w:t>
      </w:r>
    </w:p>
    <w:p>
      <w:pPr>
        <w:pStyle w:val="BodyText"/>
      </w:pPr>
      <w:r>
        <w:t xml:space="preserve">Inherited supplied primary quotation, not freshly critical-collated.. Sheldon-Williams/O’Meara translation, 1987.</w:t>
      </w:r>
    </w:p>
    <w:p>
      <w:pPr>
        <w:pStyle w:val="BodyText"/>
      </w:pPr>
      <w:r>
        <w:t xml:space="preserve">Determinate expression is metaphysically important, not merely an observer’s optional inference.</w:t>
      </w:r>
    </w:p>
    <w:p>
      <w:pPr>
        <w:pStyle w:val="BodyText"/>
      </w:pPr>
      <w:r>
        <w:t xml:space="preserve">The analogy explicitly differs from divine nature; cannot import human learning or self-completion into God. Interpreting this through created reception is a constructive proposal.</w:t>
      </w:r>
    </w:p>
    <w:p>
      <w:pPr>
        <w:pStyle w:val="BodyText"/>
      </w:pPr>
      <w:hyperlink r:id="rId84">
        <w:r>
          <w:rPr>
            <w:rStyle w:val="Hyperlink"/>
          </w:rPr>
          <w:t xml:space="preserve">Open source / orientation link →</w:t>
        </w:r>
      </w:hyperlink>
    </w:p>
    <w:p>
      <w:pPr>
        <w:pStyle w:val="BodyText"/>
      </w:pPr>
      <w:r>
        <w:t xml:space="preserve">inherited</w:t>
      </w:r>
    </w:p>
    <w:bookmarkEnd w:id="158"/>
    <w:bookmarkStart w:id="159" w:name="john-scottus-eriugena-2"/>
    <w:p>
      <w:pPr>
        <w:pStyle w:val="Heading3"/>
      </w:pPr>
      <w:r>
        <w:t xml:space="preserve">John Scottus Eriugena</w:t>
      </w:r>
    </w:p>
    <w:p>
      <w:pPr>
        <w:pStyle w:val="FirstParagraph"/>
      </w:pPr>
      <w:r>
        <w:t xml:space="preserve">Periphyseon (The Division of Nature) · III.678C–D, p. 305; II.589B, pp. 195–196; III.689B, pp. 317–318 (inherited E5–E8)</w:t>
      </w:r>
    </w:p>
    <w:p>
      <w:pPr>
        <w:pStyle w:val="BodyText"/>
      </w:pPr>
      <w:r>
        <w:t xml:space="preserve">Inherited supplied primary quotations; no fresh complete critical-edition collation.. Sheldon-Williams/O’Meara translation, 1987.</w:t>
      </w:r>
    </w:p>
    <w:p>
      <w:pPr>
        <w:pStyle w:val="BodyText"/>
      </w:pPr>
      <w:r>
        <w:t xml:space="preserve">The adopted account must explicitly refuse numerical God–creature identity and completion of God by creation if either is required by the historical text.</w:t>
      </w:r>
    </w:p>
    <w:p>
      <w:pPr>
        <w:pStyle w:val="BodyText"/>
      </w:pPr>
      <w:r>
        <w:t xml:space="preserve">Do not harmonize away the strong wording. Preserve “as it were” and “in something” in III.689B. III.678D says the immediate unity passage is not about the Incarnation.</w:t>
      </w:r>
    </w:p>
    <w:p>
      <w:pPr>
        <w:pStyle w:val="BodyText"/>
      </w:pPr>
      <w:hyperlink r:id="rId84">
        <w:r>
          <w:rPr>
            <w:rStyle w:val="Hyperlink"/>
          </w:rPr>
          <w:t xml:space="preserve">Open source / orientation link →</w:t>
        </w:r>
      </w:hyperlink>
    </w:p>
    <w:p>
      <w:pPr>
        <w:pStyle w:val="BodyText"/>
      </w:pPr>
      <w:r>
        <w:t xml:space="preserve">secondary</w:t>
      </w:r>
    </w:p>
    <w:bookmarkEnd w:id="159"/>
    <w:bookmarkStart w:id="160" w:name="dermot-moran"/>
    <w:p>
      <w:pPr>
        <w:pStyle w:val="Heading3"/>
      </w:pPr>
      <w:r>
        <w:t xml:space="preserve">Dermot Moran</w:t>
      </w:r>
    </w:p>
    <w:p>
      <w:pPr>
        <w:pStyle w:val="FirstParagraph"/>
      </w:pPr>
      <w:r>
        <w:t xml:space="preserve">John Scottus Eriugena, Stanford Encyclopedia of Philosophy · §§3.3–3.4; selected §3.9 passages on human nature and unity</w:t>
      </w:r>
    </w:p>
    <w:p>
      <w:pPr>
        <w:pStyle w:val="BodyText"/>
      </w:pPr>
      <w:r>
        <w:t xml:space="preserve">Fresh publisher consultation of selected passages, 12 October 2026.. Substantive revision 30 October 2019; current publisher text.</w:t>
      </w:r>
    </w:p>
    <w:p>
      <w:pPr>
        <w:pStyle w:val="BodyText"/>
      </w:pPr>
      <w:r>
        <w:t xml:space="preserve">Confirms the need for critical retrieval rather than an effortless historical synthesis; provides I.455B and IV.796B as primary leads.</w:t>
      </w:r>
    </w:p>
    <w:p>
      <w:pPr>
        <w:pStyle w:val="BodyText"/>
      </w:pPr>
      <w:r>
        <w:t xml:space="preserve">I.455B and IV.796B are secondary-located in this pass, not directly collated primary quotations. The article offers an interpretation that must be distinguished from the project’s constructive choice.</w:t>
      </w:r>
    </w:p>
    <w:p>
      <w:pPr>
        <w:pStyle w:val="BodyText"/>
      </w:pPr>
      <w:hyperlink r:id="rId84">
        <w:r>
          <w:rPr>
            <w:rStyle w:val="Hyperlink"/>
          </w:rPr>
          <w:t xml:space="preserve">Open source / orientation link →</w:t>
        </w:r>
      </w:hyperlink>
    </w:p>
    <w:p>
      <w:pPr>
        <w:pStyle w:val="BodyText"/>
      </w:pPr>
      <w:r>
        <w:t xml:space="preserve">provisional</w:t>
      </w:r>
    </w:p>
    <w:bookmarkEnd w:id="160"/>
    <w:bookmarkStart w:id="162" w:name="benedict-xvi-joseph-ratzinger"/>
    <w:p>
      <w:pPr>
        <w:pStyle w:val="Heading3"/>
      </w:pPr>
      <w:r>
        <w:t xml:space="preserve">Benedict XVI (Joseph Ratzinger)</w:t>
      </w:r>
    </w:p>
    <w:p>
      <w:pPr>
        <w:pStyle w:val="FirstParagraph"/>
      </w:pPr>
      <w:r>
        <w:t xml:space="preserve">Caritas in veritate · §§2–5, 52–55; especially §§53–54</w:t>
      </w:r>
    </w:p>
    <w:p>
      <w:pPr>
        <w:pStyle w:val="BodyText"/>
      </w:pPr>
      <w:r>
        <w:t xml:space="preserve">consulted-primary-transcript. Official English text represented by an unofficial Vatican-scraping transcript; 29 June 2009. Official endpoint inaccessible and not line-collated.</w:t>
      </w:r>
    </w:p>
    <w:p>
      <w:pPr>
        <w:pStyle w:val="BodyText"/>
      </w:pPr>
      <w:r>
        <w:t xml:space="preserve">Theological and social affirmation of communion that preserves persons; a reason to examine real relations without counting every personal difference as a constituent part.</w:t>
      </w:r>
    </w:p>
    <w:p>
      <w:pPr>
        <w:pStyle w:val="BodyText"/>
      </w:pPr>
      <w:r>
        <w:t xml:space="preserve">Does not prove how divine action can be free while God remains intrinsically unchanged. Human growth through relationships does not establish divine change. Trinitarian personal origins are not alternative acts of creation.</w:t>
      </w:r>
    </w:p>
    <w:p>
      <w:pPr>
        <w:pStyle w:val="BodyText"/>
      </w:pPr>
      <w:hyperlink r:id="rId95">
        <w:r>
          <w:rPr>
            <w:rStyle w:val="Hyperlink"/>
          </w:rPr>
          <w:t xml:space="preserve">Open source / orientation link →</w:t>
        </w:r>
      </w:hyperlink>
      <w:r>
        <w:t xml:space="preserve"> </w:t>
      </w:r>
      <w:hyperlink r:id="rId161">
        <w:r>
          <w:rPr>
            <w:rStyle w:val="Hyperlink"/>
          </w:rPr>
          <w:t xml:space="preserve">Consulted transcript →</w:t>
        </w:r>
      </w:hyperlink>
    </w:p>
    <w:p>
      <w:pPr>
        <w:pStyle w:val="BodyText"/>
      </w:pPr>
      <w:r>
        <w:t xml:space="preserve">provisional</w:t>
      </w:r>
    </w:p>
    <w:bookmarkEnd w:id="162"/>
    <w:bookmarkStart w:id="165" w:name="benedict-xvi-joseph-ratzinger-1"/>
    <w:p>
      <w:pPr>
        <w:pStyle w:val="Heading3"/>
      </w:pPr>
      <w:r>
        <w:t xml:space="preserve">Benedict XVI (Joseph Ratzinger)</w:t>
      </w:r>
    </w:p>
    <w:p>
      <w:pPr>
        <w:pStyle w:val="FirstParagraph"/>
      </w:pPr>
      <w:r>
        <w:t xml:space="preserve">Deus caritas est · §§9–10; especially §10</w:t>
      </w:r>
    </w:p>
    <w:p>
      <w:pPr>
        <w:pStyle w:val="BodyText"/>
      </w:pPr>
      <w:r>
        <w:t xml:space="preserve">consulted-primary-transcript. Official English text represented by an unofficial Vatican-scraping transcript; 25 December 2005. Official endpoint inaccessible and not line-collated.</w:t>
      </w:r>
    </w:p>
    <w:p>
      <w:pPr>
        <w:pStyle w:val="BodyText"/>
      </w:pPr>
      <w:r>
        <w:t xml:space="preserve">Christian theological conjunction of intelligibility, willed creation, elective love, and union without fusion.</w:t>
      </w:r>
    </w:p>
    <w:p>
      <w:pPr>
        <w:pStyle w:val="BodyText"/>
      </w:pPr>
      <w:r>
        <w:t xml:space="preserve">Does not establish contingency or explain what makes a particular divine action actual. Biblical language does not prove intrinsic divine change; the contrast with Aristotle is not a complete historical assessment.</w:t>
      </w:r>
    </w:p>
    <w:p>
      <w:pPr>
        <w:pStyle w:val="BodyText"/>
      </w:pPr>
      <w:hyperlink r:id="rId163">
        <w:r>
          <w:rPr>
            <w:rStyle w:val="Hyperlink"/>
          </w:rPr>
          <w:t xml:space="preserve">Open source / orientation link →</w:t>
        </w:r>
      </w:hyperlink>
      <w:r>
        <w:t xml:space="preserve"> </w:t>
      </w:r>
      <w:hyperlink r:id="rId164">
        <w:r>
          <w:rPr>
            <w:rStyle w:val="Hyperlink"/>
          </w:rPr>
          <w:t xml:space="preserve">Consulted transcript →</w:t>
        </w:r>
      </w:hyperlink>
    </w:p>
    <w:p>
      <w:pPr>
        <w:pStyle w:val="BodyText"/>
      </w:pPr>
      <w:r>
        <w:t xml:space="preserve">provisional</w:t>
      </w:r>
    </w:p>
    <w:bookmarkEnd w:id="165"/>
    <w:bookmarkStart w:id="168" w:name="benedict-xvi-joseph-ratzinger-2"/>
    <w:p>
      <w:pPr>
        <w:pStyle w:val="Heading3"/>
      </w:pPr>
      <w:r>
        <w:t xml:space="preserve">Benedict XVI (Joseph Ratzinger)</w:t>
      </w:r>
    </w:p>
    <w:p>
      <w:pPr>
        <w:pStyle w:val="FirstParagraph"/>
      </w:pPr>
      <w:r>
        <w:t xml:space="preserve">Spe salvi · §§14–15</w:t>
      </w:r>
    </w:p>
    <w:p>
      <w:pPr>
        <w:pStyle w:val="BodyText"/>
      </w:pPr>
      <w:r>
        <w:t xml:space="preserve">consulted-primary-transcript. Official English text represented by an unofficial Vatican-scraping transcript; 30 November 2007. Official endpoint inaccessible and not line-collated.</w:t>
      </w:r>
    </w:p>
    <w:p>
      <w:pPr>
        <w:pStyle w:val="BodyText"/>
      </w:pPr>
      <w:r>
        <w:t xml:space="preserve">Theological application: communion has communal and practical scope rather than isolated absorption into an absolute.</w:t>
      </w:r>
    </w:p>
    <w:p>
      <w:pPr>
        <w:pStyle w:val="BodyText"/>
      </w:pPr>
      <w:r>
        <w:t xml:space="preserve">Not an independent metaphysical bridge to divine simplicity, freedom, or knowledge without learning from effects.</w:t>
      </w:r>
    </w:p>
    <w:p>
      <w:pPr>
        <w:pStyle w:val="BodyText"/>
      </w:pPr>
      <w:hyperlink r:id="rId166">
        <w:r>
          <w:rPr>
            <w:rStyle w:val="Hyperlink"/>
          </w:rPr>
          <w:t xml:space="preserve">Open source / orientation link →</w:t>
        </w:r>
      </w:hyperlink>
      <w:r>
        <w:t xml:space="preserve"> </w:t>
      </w:r>
      <w:hyperlink r:id="rId167">
        <w:r>
          <w:rPr>
            <w:rStyle w:val="Hyperlink"/>
          </w:rPr>
          <w:t xml:space="preserve">Consulted transcript →</w:t>
        </w:r>
      </w:hyperlink>
    </w:p>
    <w:p>
      <w:pPr>
        <w:pStyle w:val="BodyText"/>
      </w:pPr>
      <w:r>
        <w:t xml:space="preserve">pending</w:t>
      </w:r>
    </w:p>
    <w:bookmarkEnd w:id="168"/>
    <w:bookmarkStart w:id="170" w:name="joseph-ratzinger"/>
    <w:p>
      <w:pPr>
        <w:pStyle w:val="Heading3"/>
      </w:pPr>
      <w:r>
        <w:t xml:space="preserve">Joseph Ratzinger</w:t>
      </w:r>
    </w:p>
    <w:p>
      <w:pPr>
        <w:pStyle w:val="FirstParagraph"/>
      </w:pPr>
      <w:r>
        <w:t xml:space="preserve">Concerning the Notion of Person in Theology · Communio 17 (1990), 439–454</w:t>
      </w:r>
    </w:p>
    <w:p>
      <w:pPr>
        <w:pStyle w:val="BodyText"/>
      </w:pPr>
      <w:r>
        <w:t xml:space="preserve">unconsulted-primary-lead. Bibliographic lead only; publisher endpoint inaccessible.</w:t>
      </w:r>
    </w:p>
    <w:p>
      <w:pPr>
        <w:pStyle w:val="BodyText"/>
      </w:pPr>
      <w:r>
        <w:t xml:space="preserve">Nothing independently established by this research pass.</w:t>
      </w:r>
    </w:p>
    <w:p>
      <w:pPr>
        <w:pStyle w:val="BodyText"/>
      </w:pPr>
      <w:r>
        <w:t xml:space="preserve">Do not quote or attribute detailed technical arguments to this unconsulted essay; landing URL itself could not be verified against publisher output.</w:t>
      </w:r>
    </w:p>
    <w:p>
      <w:pPr>
        <w:pStyle w:val="BodyText"/>
      </w:pPr>
      <w:hyperlink r:id="rId169">
        <w:r>
          <w:rPr>
            <w:rStyle w:val="Hyperlink"/>
          </w:rPr>
          <w:t xml:space="preserve">Open source / orientation link →</w:t>
        </w:r>
      </w:hyperlink>
    </w:p>
    <w:p>
      <w:pPr>
        <w:pStyle w:val="BodyText"/>
      </w:pPr>
      <w:r>
        <w:t xml:space="preserve">inherited</w:t>
      </w:r>
    </w:p>
    <w:bookmarkEnd w:id="170"/>
    <w:bookmarkStart w:id="173" w:name="thomas-aquinas"/>
    <w:p>
      <w:pPr>
        <w:pStyle w:val="Heading3"/>
      </w:pPr>
      <w:r>
        <w:t xml:space="preserve">Thomas Aquinas</w:t>
      </w:r>
    </w:p>
    <w:p>
      <w:pPr>
        <w:pStyle w:val="FirstParagraph"/>
      </w:pPr>
      <w:r>
        <w:t xml:space="preserve">Summa theologiae · I, q. 3, a. 7, respondeo</w:t>
      </w:r>
    </w:p>
    <w:p>
      <w:pPr>
        <w:pStyle w:val="BodyText"/>
      </w:pPr>
      <w:r>
        <w:t xml:space="preserve">Inherited directly consulted primary translation from Participation and Beyond Participation; not newly collated for page III.. English Dominican Fathers, Complete American Edition; Gutenberg #17611 witness. New Advent is a public reading address.</w:t>
      </w:r>
    </w:p>
    <w:p>
      <w:pPr>
        <w:pStyle w:val="BodyText"/>
      </w:pPr>
      <w:r>
        <w:t xml:space="preserve">A historical resource for the argument from dependence on constituents; different concepts do not by themselves establish proper parts.</w:t>
      </w:r>
    </w:p>
    <w:p>
      <w:pPr>
        <w:pStyle w:val="BodyText"/>
      </w:pPr>
      <w:r>
        <w:t xml:space="preserve">Efficient uncausedness alone does not prove full simplicity. The modern KD reconstruction is not Aquinas’s complete argument.</w:t>
      </w:r>
    </w:p>
    <w:p>
      <w:pPr>
        <w:pStyle w:val="BodyText"/>
      </w:pPr>
      <w:hyperlink r:id="rId171">
        <w:r>
          <w:rPr>
            <w:rStyle w:val="Hyperlink"/>
          </w:rPr>
          <w:t xml:space="preserve">Open source / orientation link →</w:t>
        </w:r>
      </w:hyperlink>
      <w:r>
        <w:t xml:space="preserve"> </w:t>
      </w:r>
      <w:hyperlink r:id="rId172">
        <w:r>
          <w:rPr>
            <w:rStyle w:val="Hyperlink"/>
          </w:rPr>
          <w:t xml:space="preserve">Consulted transcript →</w:t>
        </w:r>
      </w:hyperlink>
    </w:p>
    <w:p>
      <w:pPr>
        <w:pStyle w:val="BodyText"/>
      </w:pPr>
      <w:r>
        <w:t xml:space="preserve">inherited</w:t>
      </w:r>
    </w:p>
    <w:bookmarkEnd w:id="173"/>
    <w:bookmarkStart w:id="175" w:name="thomas-aquinas-1"/>
    <w:p>
      <w:pPr>
        <w:pStyle w:val="Heading3"/>
      </w:pPr>
      <w:r>
        <w:t xml:space="preserve">Thomas Aquinas</w:t>
      </w:r>
    </w:p>
    <w:p>
      <w:pPr>
        <w:pStyle w:val="FirstParagraph"/>
      </w:pPr>
      <w:r>
        <w:t xml:space="preserve">Summa theologiae · I, q. 14, aa. 5, 8–9; especially a. 8, respondeo and ad 1/ad 3</w:t>
      </w:r>
    </w:p>
    <w:p>
      <w:pPr>
        <w:pStyle w:val="BodyText"/>
      </w:pPr>
      <w:r>
        <w:t xml:space="preserve">Inherited direct consultation of aa. 5 and 8 in Beyond Participation; a. 9 inherited from manuscript register N11, not freshly checked here.. English Dominican Fathers translation; Gutenberg #17611 and inherited manuscript source register.</w:t>
      </w:r>
    </w:p>
    <w:p>
      <w:pPr>
        <w:pStyle w:val="BodyText"/>
      </w:pPr>
      <w:r>
        <w:t xml:space="preserve">Choice, knowledge through causing, and knowledge of possibilities need distinct explanations.</w:t>
      </w:r>
    </w:p>
    <w:p>
      <w:pPr>
        <w:pStyle w:val="BodyText"/>
      </w:pPr>
      <w:r>
        <w:t xml:space="preserve">Does not independently establish God’s existence, unrestricted cognitive perfection, knowledge of a particular actual choice, or knowledge of every permitted creaturely act.</w:t>
      </w:r>
    </w:p>
    <w:p>
      <w:pPr>
        <w:pStyle w:val="BodyText"/>
      </w:pPr>
      <w:hyperlink r:id="rId174">
        <w:r>
          <w:rPr>
            <w:rStyle w:val="Hyperlink"/>
          </w:rPr>
          <w:t xml:space="preserve">Open source / orientation link →</w:t>
        </w:r>
      </w:hyperlink>
      <w:r>
        <w:t xml:space="preserve"> </w:t>
      </w:r>
      <w:hyperlink r:id="rId172">
        <w:r>
          <w:rPr>
            <w:rStyle w:val="Hyperlink"/>
          </w:rPr>
          <w:t xml:space="preserve">Consulted transcript →</w:t>
        </w:r>
      </w:hyperlink>
    </w:p>
    <w:p>
      <w:pPr>
        <w:pStyle w:val="BodyText"/>
      </w:pPr>
      <w:r>
        <w:t xml:space="preserve">inherited</w:t>
      </w:r>
    </w:p>
    <w:bookmarkEnd w:id="175"/>
    <w:bookmarkStart w:id="176" w:name="thomas-aquinas-2"/>
    <w:p>
      <w:pPr>
        <w:pStyle w:val="Heading3"/>
      </w:pPr>
      <w:r>
        <w:t xml:space="preserve">Thomas Aquinas</w:t>
      </w:r>
    </w:p>
    <w:p>
      <w:pPr>
        <w:pStyle w:val="FirstParagraph"/>
      </w:pPr>
      <w:r>
        <w:t xml:space="preserve">Summa theologiae · I, q. 19, aa. 2–3; a. 3, respondeo and ad 5</w:t>
      </w:r>
    </w:p>
    <w:p>
      <w:pPr>
        <w:pStyle w:val="BodyText"/>
      </w:pPr>
      <w:r>
        <w:t xml:space="preserve">Inherited directly consulted primary translation from Beyond Participation; no new critical collation for page III.. English Dominican Fathers translation; Gutenberg #17611 witness.</w:t>
      </w:r>
    </w:p>
    <w:p>
      <w:pPr>
        <w:pStyle w:val="BodyText"/>
      </w:pPr>
      <w:r>
        <w:t xml:space="preserve">A rational-voluntary resource for contingent communication; distinguishes necessity by supposition from absolute necessity.</w:t>
      </w:r>
    </w:p>
    <w:p>
      <w:pPr>
        <w:pStyle w:val="BodyText"/>
      </w:pPr>
      <w:r>
        <w:t xml:space="preserve">The account of reasons, purposes, and agency still needs defense. Neither non-exhaustion alone nor this quotation settles whether God remains intrinsically the same across alternative creations.</w:t>
      </w:r>
    </w:p>
    <w:p>
      <w:pPr>
        <w:pStyle w:val="BodyText"/>
      </w:pPr>
      <w:hyperlink r:id="rId98">
        <w:r>
          <w:rPr>
            <w:rStyle w:val="Hyperlink"/>
          </w:rPr>
          <w:t xml:space="preserve">Open source / orientation link →</w:t>
        </w:r>
      </w:hyperlink>
      <w:r>
        <w:t xml:space="preserve"> </w:t>
      </w:r>
      <w:hyperlink r:id="rId172">
        <w:r>
          <w:rPr>
            <w:rStyle w:val="Hyperlink"/>
          </w:rPr>
          <w:t xml:space="preserve">Consulted transcript →</w:t>
        </w:r>
      </w:hyperlink>
    </w:p>
    <w:p>
      <w:pPr>
        <w:pStyle w:val="BodyText"/>
      </w:pPr>
      <w:r>
        <w:t xml:space="preserve">inherited</w:t>
      </w:r>
    </w:p>
    <w:bookmarkEnd w:id="176"/>
    <w:bookmarkStart w:id="178" w:name="thomas-aquinas-3"/>
    <w:p>
      <w:pPr>
        <w:pStyle w:val="Heading3"/>
      </w:pPr>
      <w:r>
        <w:t xml:space="preserve">Thomas Aquinas</w:t>
      </w:r>
    </w:p>
    <w:p>
      <w:pPr>
        <w:pStyle w:val="FirstParagraph"/>
      </w:pPr>
      <w:r>
        <w:t xml:space="preserve">Summa theologiae · I, q. 45, a. 3; especially ad 1</w:t>
      </w:r>
    </w:p>
    <w:p>
      <w:pPr>
        <w:pStyle w:val="BodyText"/>
      </w:pPr>
      <w:r>
        <w:t xml:space="preserve">Inherited manuscript source register N11; translation check reported there, not repeated for page III.. English Dominican Fathers translation, New Advent/CCEL as reported in the inherited manuscript register.</w:t>
      </w:r>
    </w:p>
    <w:p>
      <w:pPr>
        <w:pStyle w:val="BodyText"/>
      </w:pPr>
      <w:r>
        <w:t xml:space="preserve">A classical source for distinguishing divine action in relation to creatures from creatures’ real dependence on God.</w:t>
      </w:r>
    </w:p>
    <w:p>
      <w:pPr>
        <w:pStyle w:val="BodyText"/>
      </w:pPr>
      <w:r>
        <w:t xml:space="preserve">Creation understood as a relation does not by itself explain free intentional choice, control, or justified knowledge. This account does not establish the Trinity or the Incarnation.</w:t>
      </w:r>
    </w:p>
    <w:p>
      <w:pPr>
        <w:pStyle w:val="BodyText"/>
      </w:pPr>
      <w:hyperlink r:id="rId177">
        <w:r>
          <w:rPr>
            <w:rStyle w:val="Hyperlink"/>
          </w:rPr>
          <w:t xml:space="preserve">Open source / orientation link →</w:t>
        </w:r>
      </w:hyperlink>
    </w:p>
    <w:p>
      <w:pPr>
        <w:pStyle w:val="BodyText"/>
      </w:pPr>
      <w:r>
        <w:t xml:space="preserve">inherited</w:t>
      </w:r>
    </w:p>
    <w:bookmarkEnd w:id="178"/>
    <w:bookmarkStart w:id="180" w:name="augustine"/>
    <w:p>
      <w:pPr>
        <w:pStyle w:val="Heading3"/>
      </w:pPr>
      <w:r>
        <w:t xml:space="preserve">Augustine</w:t>
      </w:r>
    </w:p>
    <w:p>
      <w:pPr>
        <w:pStyle w:val="FirstParagraph"/>
      </w:pPr>
      <w:r>
        <w:t xml:space="preserve">Confessions · IV.10.15</w:t>
      </w:r>
    </w:p>
    <w:p>
      <w:pPr>
        <w:pStyle w:val="BodyText"/>
      </w:pPr>
      <w:r>
        <w:t xml:space="preserve">Inherited manuscript primary quotation, register N5; not freshly consulted for page III.. J. G. Pilkington translation, NPNF first series I (1887); inherited structural locus.</w:t>
      </w:r>
    </w:p>
    <w:p>
      <w:pPr>
        <w:pStyle w:val="BodyText"/>
      </w:pPr>
      <w:r>
        <w:t xml:space="preserve">A historical illustration of how temporal succession can contribute to an achieved whole.</w:t>
      </w:r>
    </w:p>
    <w:p>
      <w:pPr>
        <w:pStyle w:val="BodyText"/>
      </w:pPr>
      <w:r>
        <w:t xml:space="preserve">The claim that finite conditions partly constitute some goods is the project’s constructive extension. This passage does not show that every loss or suffering is beneficial.</w:t>
      </w:r>
    </w:p>
    <w:p>
      <w:pPr>
        <w:pStyle w:val="BodyText"/>
      </w:pPr>
      <w:hyperlink r:id="rId179">
        <w:r>
          <w:rPr>
            <w:rStyle w:val="Hyperlink"/>
          </w:rPr>
          <w:t xml:space="preserve">Open source / orientation link →</w:t>
        </w:r>
      </w:hyperlink>
    </w:p>
    <w:p>
      <w:pPr>
        <w:pStyle w:val="BodyText"/>
      </w:pPr>
      <w:r>
        <w:t xml:space="preserve">pending</w:t>
      </w:r>
    </w:p>
    <w:bookmarkEnd w:id="180"/>
    <w:bookmarkStart w:id="182" w:name="augustine-1"/>
    <w:p>
      <w:pPr>
        <w:pStyle w:val="Heading3"/>
      </w:pPr>
      <w:r>
        <w:t xml:space="preserve">Augustine</w:t>
      </w:r>
    </w:p>
    <w:p>
      <w:pPr>
        <w:pStyle w:val="FirstParagraph"/>
      </w:pPr>
      <w:r>
        <w:t xml:space="preserve">De diversis quaestionibus octoginta tribus (Eighty-three Different Questions) · q. 46, especially §§1–2, De ideis</w:t>
      </w:r>
    </w:p>
    <w:p>
      <w:pPr>
        <w:pStyle w:val="BodyText"/>
      </w:pPr>
      <w:r>
        <w:t xml:space="preserve">Inherited primary bibliographic lead from Participation; q. 46 was not directly consulted in the website research and is not freshly verified here.. No primary critical-edition collation performed in this research pass.</w:t>
      </w:r>
    </w:p>
    <w:p>
      <w:pPr>
        <w:pStyle w:val="BodyText"/>
      </w:pPr>
      <w:r>
        <w:t xml:space="preserve">Nothing independently established by this unconsulted primary lead; the broader exemplar account has other consulted witnesses.</w:t>
      </w:r>
    </w:p>
    <w:p>
      <w:pPr>
        <w:pStyle w:val="BodyText"/>
      </w:pPr>
      <w:r>
        <w:t xml:space="preserve">Do not treat the link as a primary witness or quote this question as newly verified. Exemplar intelligibility still differs from actual creative selection.</w:t>
      </w:r>
    </w:p>
    <w:p>
      <w:pPr>
        <w:pStyle w:val="BodyText"/>
      </w:pPr>
      <w:hyperlink r:id="rId181">
        <w:r>
          <w:rPr>
            <w:rStyle w:val="Hyperlink"/>
          </w:rPr>
          <w:t xml:space="preserve">Open source / orientation link →</w:t>
        </w:r>
      </w:hyperlink>
    </w:p>
    <w:p>
      <w:pPr>
        <w:pStyle w:val="BodyText"/>
      </w:pPr>
      <w:r>
        <w:t xml:space="preserve">inherited</w:t>
      </w:r>
    </w:p>
    <w:bookmarkEnd w:id="182"/>
    <w:bookmarkStart w:id="185" w:name="john-henry-newman"/>
    <w:p>
      <w:pPr>
        <w:pStyle w:val="Heading3"/>
      </w:pPr>
      <w:r>
        <w:t xml:space="preserve">John Henry Newman</w:t>
      </w:r>
    </w:p>
    <w:p>
      <w:pPr>
        <w:pStyle w:val="FirstParagraph"/>
      </w:pPr>
      <w:r>
        <w:t xml:space="preserve">An Essay on the Development of Christian Doctrine · Part II, chapter V, §§I–VII; opening §4 on varying cogency, independence, and applicability</w:t>
      </w:r>
    </w:p>
    <w:p>
      <w:pPr>
        <w:pStyle w:val="BodyText"/>
      </w:pPr>
      <w:r>
        <w:t xml:space="preserve">Inherited directly consulted primary witness from Participation; no new edition collation for page III.. Project Gutenberg #35110 / GITenberg transcription.</w:t>
      </w:r>
    </w:p>
    <w:p>
      <w:pPr>
        <w:pStyle w:val="BodyText"/>
      </w:pPr>
      <w:r>
        <w:t xml:space="preserve">An analogical discipline for constructive synthesis that conserves principles and prior achievements while clarifying tensions.</w:t>
      </w:r>
    </w:p>
    <w:p>
      <w:pPr>
        <w:pStyle w:val="BodyText"/>
      </w:pPr>
      <w:r>
        <w:t xml:space="preserve">Not an ecclesial certification, proof of new metaphysical premises, or license to harmonize contradiction. A new page cannot already demonstrate chronic historical vigour.</w:t>
      </w:r>
    </w:p>
    <w:p>
      <w:pPr>
        <w:pStyle w:val="BodyText"/>
      </w:pPr>
      <w:hyperlink r:id="rId183">
        <w:r>
          <w:rPr>
            <w:rStyle w:val="Hyperlink"/>
          </w:rPr>
          <w:t xml:space="preserve">Open source / orientation link →</w:t>
        </w:r>
      </w:hyperlink>
      <w:r>
        <w:t xml:space="preserve"> </w:t>
      </w:r>
      <w:hyperlink r:id="rId184">
        <w:r>
          <w:rPr>
            <w:rStyle w:val="Hyperlink"/>
          </w:rPr>
          <w:t xml:space="preserve">Consulted transcript →</w:t>
        </w:r>
      </w:hyperlink>
    </w:p>
    <w:bookmarkEnd w:id="185"/>
    <w:p>
      <w:pPr>
        <w:pStyle w:val="BodyText"/>
      </w:pPr>
      <w:r>
        <w:t xml:space="preserve">Filters inspect the complete 28-entry ledger, including specialist scholarship and unconsulted leads such as Ratzinger’s 1990 Person essay. This remains a disciplined research proposal, rather than an exhaustive critical-edition survey.</w:t>
      </w:r>
    </w:p>
    <w:p>
      <w:pPr>
        <w:pStyle w:val="BodyText"/>
      </w:pPr>
      <w:hyperlink r:id="rId186">
        <w:r>
          <w:rPr>
            <w:rStyle w:val="Hyperlink"/>
          </w:rPr>
          <w:t xml:space="preserve">Shared reading guide →</w:t>
        </w:r>
      </w:hyperlink>
      <w:hyperlink r:id="rId187">
        <w:r>
          <w:rPr>
            <w:rStyle w:val="Hyperlink"/>
          </w:rPr>
          <w:t xml:space="preserve">Complete Part III report →</w:t>
        </w:r>
      </w:hyperlink>
      <w:hyperlink r:id="rId188">
        <w:r>
          <w:rPr>
            <w:rStyle w:val="Hyperlink"/>
          </w:rPr>
          <w:t xml:space="preserve">Formal audit &amp; cases →</w:t>
        </w:r>
      </w:hyperlink>
      <w:hyperlink r:id="rId189">
        <w:r>
          <w:rPr>
            <w:rStyle w:val="Hyperlink"/>
          </w:rPr>
          <w:t xml:space="preserve">Source dossier →</w:t>
        </w:r>
      </w:hyperlink>
      <w:hyperlink r:id="rId190">
        <w:r>
          <w:rPr>
            <w:rStyle w:val="Hyperlink"/>
          </w:rPr>
          <w:t xml:space="preserve">Machine-readable source ledger →</w:t>
        </w:r>
      </w:hyperlink>
    </w:p>
    <w:bookmarkStart w:id="194" w:name="Xa6450c4cb08f94a8b1d8863bfb1c274b01b76d8"/>
    <w:p>
      <w:pPr>
        <w:pStyle w:val="Heading3"/>
      </w:pPr>
      <w:r>
        <w:t xml:space="preserve">Further reading and an imaginative companion</w:t>
      </w:r>
    </w:p>
    <w:p>
      <w:pPr>
        <w:pStyle w:val="FirstParagraph"/>
      </w:pPr>
      <w:r>
        <w:t xml:space="preserve">Two optional companions to this inquiry into divine action deserve an honorable mention.</w:t>
      </w:r>
    </w:p>
    <w:bookmarkStart w:id="192" w:name="a-philosophical-resource"/>
    <w:p>
      <w:pPr>
        <w:pStyle w:val="Heading4"/>
      </w:pPr>
      <w:r>
        <w:t xml:space="preserve">A philosophical resource</w:t>
      </w:r>
    </w:p>
    <w:p>
      <w:pPr>
        <w:pStyle w:val="FirstParagraph"/>
      </w:pPr>
      <w:r>
        <w:t xml:space="preserve">Kerr, G. (2023).</w:t>
      </w:r>
      <w:r>
        <w:t xml:space="preserve"> </w:t>
      </w:r>
      <w:hyperlink r:id="rId191">
        <w:r>
          <w:rPr>
            <w:rStyle w:val="Hyperlink"/>
          </w:rPr>
          <w:t xml:space="preserve">God and the alone world</w:t>
        </w:r>
      </w:hyperlink>
      <w:r>
        <w:t xml:space="preserve">.</w:t>
      </w:r>
      <w:r>
        <w:t xml:space="preserve"> </w:t>
      </w:r>
      <w:r>
        <w:rPr>
          <w:i/>
          <w:iCs/>
        </w:rPr>
        <w:t xml:space="preserve">Irish Theological Quarterly</w:t>
      </w:r>
      <w:r>
        <w:t xml:space="preserve">, 88(1), 76–89.</w:t>
      </w:r>
    </w:p>
    <w:p>
      <w:pPr>
        <w:pStyle w:val="BodyText"/>
      </w:pPr>
      <w:r>
        <w:t xml:space="preserve">A further-reading lead for pursuing the question of divine agency alongside the distinctions developed here between power, actual action, and knowledge. No particular argument from the article is attributed or adopted here.</w:t>
      </w:r>
    </w:p>
    <w:bookmarkEnd w:id="192"/>
    <w:bookmarkStart w:id="193" w:name="a-loose-comic-book-metaphor"/>
    <w:p>
      <w:pPr>
        <w:pStyle w:val="Heading4"/>
      </w:pPr>
      <w:r>
        <w:t xml:space="preserve">A loose comic-book metaphor</w:t>
      </w:r>
    </w:p>
    <w:p>
      <w:pPr>
        <w:pStyle w:val="FirstParagraph"/>
      </w:pPr>
      <w:r>
        <w:t xml:space="preserve">Ewing, A., Vecchio, L., Curiel, D., Aburtov, J., &amp; Sabino, J. V. C. (2024).</w:t>
      </w:r>
      <w:r>
        <w:t xml:space="preserve"> </w:t>
      </w:r>
      <w:r>
        <w:rPr>
          <w:i/>
          <w:iCs/>
        </w:rPr>
        <w:t xml:space="preserve">Resurrection of Magneto #4</w:t>
      </w:r>
      <w:r>
        <w:t xml:space="preserve">. Marvel Comics.</w:t>
      </w:r>
    </w:p>
    <w:p>
      <w:pPr>
        <w:pStyle w:val="BodyText"/>
      </w:pPr>
      <w:r>
        <w:t xml:space="preserve">Consider Magneto as an imaginative comparison: an agent directing power toward a particular result can help us picture direct agency without a preliminary chain of separate actions. Directness alone does not establish freedom, and it need not mean reflex or psychological flow. The character remains a finite fictional agent; the comparison supplies no premise about divine simplicity, creation, or knowledge.</w:t>
      </w:r>
    </w:p>
    <w:p>
      <w:pPr>
        <w:pStyle w:val="BodyText"/>
      </w:pPr>
      <w:r>
        <w:t xml:space="preserve">These are reader-suggested resources. Bibliographic details are supplied by the reader; the article and comic have not been directly consulted for this page. The metaphysical account rests on the arguments and premises developed above.</w:t>
      </w:r>
    </w:p>
    <w:bookmarkEnd w:id="193"/>
    <w:bookmarkEnd w:id="194"/>
    <w:p>
      <w:pPr>
        <w:pStyle w:val="BodyText"/>
      </w:pPr>
      <w:r>
        <w:t xml:space="preserve">12 / THE RESULT</w:t>
      </w:r>
    </w:p>
    <w:bookmarkStart w:id="195" w:name="a-gift-can-become-a-life"/>
    <w:p>
      <w:pPr>
        <w:pStyle w:val="Heading2"/>
      </w:pPr>
      <w:r>
        <w:t xml:space="preserve">A gift can become a life</w:t>
      </w:r>
    </w:p>
    <w:p>
      <w:pPr>
        <w:pStyle w:val="FirstParagraph"/>
      </w:pPr>
      <w:r>
        <w:t xml:space="preserve">Creaturely fulfillment can be real without constituting or completing God.</w:t>
      </w:r>
    </w:p>
    <w:bookmarkEnd w:id="195"/>
    <w:p>
      <w:pPr>
        <w:pStyle w:val="BodyText"/>
      </w:pPr>
      <w:r>
        <w:t xml:space="preserve">POSITIVE RESULT / CONDITIONAL METAPHYSICS</w:t>
      </w:r>
    </w:p>
    <w:p>
      <w:pPr>
        <w:pStyle w:val="BodyText"/>
      </w:pPr>
      <w:r>
        <w:t xml:space="preserve">The core result is an explanatory separation with positive consequences. What an agent produces, intends, controls, communicates, and knows cannot simply replace one another. A creature can receive a real power and genuinely exercise it. A finite history can bring a new good into existence without supplying God with a missing perfection. Communion can fulfill the recipient while preserving its identity.</w:t>
      </w:r>
    </w:p>
    <w:p>
      <w:pPr>
        <w:pStyle w:val="BodyText"/>
      </w:pPr>
      <w:r>
        <w:t xml:space="preserve">Applied to divine action, the proposal locates the contingent direction of creation in God’s real controlled relation to its intended effect, rather than in an acquired divine constituent. It must still defend that intentional ontology and the non-receptive knowledge it requires. Those are substantive bridges, not consequences of the word “simple.”</w:t>
      </w:r>
    </w:p>
    <w:bookmarkStart w:id="196" w:name="X83f7a916e74ce85e99fce175d75a133a3df1a69"/>
    <w:p>
      <w:pPr>
        <w:pStyle w:val="Heading3"/>
      </w:pPr>
      <w:r>
        <w:t xml:space="preserve">From source to plenitude, and to “all in all”</w:t>
      </w:r>
    </w:p>
    <w:p>
      <w:pPr>
        <w:pStyle w:val="FirstParagraph"/>
      </w:pPr>
      <w:r>
        <w:t xml:space="preserve">The six simplicity accomplishments exclude specified forms of received divine actuality. Their negative achievement does not alone establish every positive perfection. A further causal-adequacy and pure-perfection argument must warrant intellect, goodness, and plenitude. Universal sourcehood must likewise be argued, rather than inferred from a local cause.</w:t>
      </w:r>
    </w:p>
    <w:p>
      <w:pPr>
        <w:pStyle w:val="BodyText"/>
      </w:pPr>
      <w:r>
        <w:t xml:space="preserve">Under those bridges, God can be understood as the unreceived fullness from which every created good receives its actuality.</w:t>
      </w:r>
      <w:r>
        <w:t xml:space="preserve"> </w:t>
      </w:r>
      <w:r>
        <w:rPr>
          <w:i/>
          <w:iCs/>
        </w:rPr>
        <w:t xml:space="preserve">The All</w:t>
      </w:r>
      <w:r>
        <w:t xml:space="preserve"> </w:t>
      </w:r>
      <w:r>
        <w:t xml:space="preserve">names that fullness under universal sourcehood, not an aggregate made by adding God to the universe. Free communication remains a further step: abundance does not select a world merely by being abundant.</w:t>
      </w:r>
    </w:p>
    <w:p>
      <w:pPr>
        <w:pStyle w:val="BodyText"/>
      </w:pPr>
      <w:r>
        <w:t xml:space="preserve">Christian revelation then gives the final horizon that metaphysics alone cannot generate. The supplied manuscript situates</w:t>
      </w:r>
      <w:r>
        <w:t xml:space="preserve"> </w:t>
      </w:r>
      <w:r>
        <w:rPr>
          <w:b/>
          <w:bCs/>
        </w:rPr>
        <w:t xml:space="preserve">1 Corinthians 15:20–28</w:t>
      </w:r>
      <w:r>
        <w:t xml:space="preserve"> </w:t>
      </w:r>
      <w:r>
        <w:t xml:space="preserve">in its Christological setting: resurrection, Christ’s reign, the defeat of death, and the handing over of the kingdom frame the confession that God is all in all. This is a contextual paraphrase, not a newly collated biblical translation. The movement is the consummation of creation through Christ, not the source’s acquisition of its final completeness. The verse alone neither proves this philosophical architecture nor settles every person’s final destiny.</w:t>
      </w:r>
    </w:p>
    <w:p>
      <w:pPr>
        <w:pStyle w:val="BodyText"/>
      </w:pPr>
      <w:r>
        <w:t xml:space="preserve">God does not become complete through creation. Creation can become fulfilled through God.</w:t>
      </w:r>
    </w:p>
    <w:p>
      <w:pPr>
        <w:pStyle w:val="BodyText"/>
      </w:pPr>
      <w:r>
        <w:t xml:space="preserve">Resurrection and communion preserve embodied personal identity; beatific intimacy does not exhaust or divide its divine object. The end is therefore more than dependence made visible: it is a received life brought into knowing and loving communion. That promised consummation is theological content; the metaphysical contribution is to make its intimacy, creaturely reality, and divine sufficiency intelligible together.</w:t>
      </w:r>
    </w:p>
    <w:bookmarkEnd w:id="196"/>
    <w:bookmarkStart w:id="205" w:name="follow-this-thread-across-both-projects"/>
    <w:p>
      <w:pPr>
        <w:pStyle w:val="Heading3"/>
      </w:pPr>
      <w:r>
        <w:t xml:space="preserve">Follow this thread</w:t>
      </w:r>
      <w:r>
        <w:t xml:space="preserve"> </w:t>
      </w:r>
      <w:r>
        <w:t xml:space="preserve">Across both projects</w:t>
      </w:r>
    </w:p>
    <w:p>
      <w:pPr>
        <w:pStyle w:val="FirstParagraph"/>
      </w:pPr>
      <w:r>
        <w:t xml:space="preserve">Continue the question through its foundations, related studies, and working definitions. Each argument retains its own premises and warrant.</w:t>
      </w:r>
    </w:p>
    <w:bookmarkStart w:id="198" w:name="within-this-inquiry"/>
    <w:p>
      <w:pPr>
        <w:pStyle w:val="Heading3"/>
      </w:pPr>
      <w:r>
        <w:t xml:space="preserve">Within this inquiry</w:t>
      </w:r>
    </w:p>
    <w:p>
      <w:pPr>
        <w:pStyle w:val="Compact"/>
        <w:numPr>
          <w:ilvl w:val="0"/>
          <w:numId w:val="1001"/>
        </w:numPr>
      </w:pPr>
      <w:hyperlink r:id="rId59">
        <w:r>
          <w:rPr>
            <w:rStyle w:val="Hyperlink"/>
          </w:rPr>
          <w:t xml:space="preserve">Beyond Participation</w:t>
        </w:r>
      </w:hyperlink>
    </w:p>
    <w:p>
      <w:pPr>
        <w:pStyle w:val="Compact"/>
        <w:numPr>
          <w:ilvl w:val="0"/>
          <w:numId w:val="1001"/>
        </w:numPr>
      </w:pPr>
      <w:hyperlink r:id="rId197">
        <w:r>
          <w:rPr>
            <w:rStyle w:val="Hyperlink"/>
          </w:rPr>
          <w:t xml:space="preserve">The Human Person</w:t>
        </w:r>
      </w:hyperlink>
    </w:p>
    <w:bookmarkEnd w:id="198"/>
    <w:bookmarkStart w:id="201" w:name="across-the-two-sites"/>
    <w:p>
      <w:pPr>
        <w:pStyle w:val="Heading3"/>
      </w:pPr>
      <w:r>
        <w:t xml:space="preserve">Across the two sites</w:t>
      </w:r>
    </w:p>
    <w:p>
      <w:pPr>
        <w:pStyle w:val="Compact"/>
        <w:numPr>
          <w:ilvl w:val="0"/>
          <w:numId w:val="1002"/>
        </w:numPr>
      </w:pPr>
      <w:hyperlink r:id="rId199">
        <w:r>
          <w:rPr>
            <w:rStyle w:val="Hyperlink"/>
          </w:rPr>
          <w:t xml:space="preserve">An Action That Is Truly Ours</w:t>
        </w:r>
      </w:hyperlink>
    </w:p>
    <w:p>
      <w:pPr>
        <w:pStyle w:val="Compact"/>
        <w:numPr>
          <w:ilvl w:val="0"/>
          <w:numId w:val="1002"/>
        </w:numPr>
      </w:pPr>
      <w:hyperlink r:id="rId200">
        <w:r>
          <w:rPr>
            <w:rStyle w:val="Hyperlink"/>
          </w:rPr>
          <w:t xml:space="preserve">Evil, suffering, and hiddenness</w:t>
        </w:r>
      </w:hyperlink>
    </w:p>
    <w:bookmarkEnd w:id="201"/>
    <w:bookmarkStart w:id="204" w:name="essays-and-studies"/>
    <w:p>
      <w:pPr>
        <w:pStyle w:val="Heading3"/>
      </w:pPr>
      <w:r>
        <w:t xml:space="preserve">Essays and studies</w:t>
      </w:r>
    </w:p>
    <w:p>
      <w:pPr>
        <w:pStyle w:val="Compact"/>
        <w:numPr>
          <w:ilvl w:val="0"/>
          <w:numId w:val="1003"/>
        </w:numPr>
      </w:pPr>
      <w:hyperlink r:id="rId202">
        <w:r>
          <w:rPr>
            <w:rStyle w:val="Hyperlink"/>
          </w:rPr>
          <w:t xml:space="preserve">What participation means</w:t>
        </w:r>
      </w:hyperlink>
    </w:p>
    <w:p>
      <w:pPr>
        <w:pStyle w:val="Compact"/>
        <w:numPr>
          <w:ilvl w:val="0"/>
          <w:numId w:val="1003"/>
        </w:numPr>
      </w:pPr>
      <w:hyperlink r:id="rId203">
        <w:r>
          <w:rPr>
            <w:rStyle w:val="Hyperlink"/>
          </w:rPr>
          <w:t xml:space="preserve">Prayer and attention</w:t>
        </w:r>
      </w:hyperlink>
    </w:p>
    <w:bookmarkEnd w:id="204"/>
    <w:p>
      <w:pPr>
        <w:pStyle w:val="FirstParagraph"/>
      </w:pPr>
      <w:r>
        <w:rPr>
          <w:b/>
          <w:bCs/>
        </w:rPr>
        <w:t xml:space="preserve">Clarify a term:</w:t>
      </w:r>
      <w:r>
        <w:t xml:space="preserve"> </w:t>
      </w:r>
      <w:hyperlink r:id="rId22">
        <w:r>
          <w:rPr>
            <w:rStyle w:val="Hyperlink"/>
          </w:rPr>
          <w:t xml:space="preserve">Determination</w:t>
        </w:r>
      </w:hyperlink>
      <w:r>
        <w:t xml:space="preserve"> </w:t>
      </w:r>
      <w:r>
        <w:t xml:space="preserve">·</w:t>
      </w:r>
      <w:r>
        <w:t xml:space="preserve"> </w:t>
      </w:r>
      <w:hyperlink r:id="rId23">
        <w:r>
          <w:rPr>
            <w:rStyle w:val="Hyperlink"/>
          </w:rPr>
          <w:t xml:space="preserve">Realization</w:t>
        </w:r>
      </w:hyperlink>
      <w:r>
        <w:t xml:space="preserve"> </w:t>
      </w:r>
      <w:r>
        <w:t xml:space="preserve">·</w:t>
      </w:r>
      <w:r>
        <w:t xml:space="preserve"> </w:t>
      </w:r>
      <w:hyperlink r:id="rId24">
        <w:r>
          <w:rPr>
            <w:rStyle w:val="Hyperlink"/>
          </w:rPr>
          <w:t xml:space="preserve">Constitution</w:t>
        </w:r>
      </w:hyperlink>
      <w:r>
        <w:t xml:space="preserve"> </w:t>
      </w:r>
      <w:r>
        <w:t xml:space="preserve">·</w:t>
      </w:r>
      <w:r>
        <w:t xml:space="preserve"> </w:t>
      </w:r>
      <w:hyperlink r:id="rId25">
        <w:r>
          <w:rPr>
            <w:rStyle w:val="Hyperlink"/>
          </w:rPr>
          <w:t xml:space="preserve">Intrinsic and extrinsic</w:t>
        </w:r>
      </w:hyperlink>
    </w:p>
    <w:bookmarkEnd w:id="205"/>
    <w:p>
      <w:pPr>
        <w:pStyle w:val="Heading1"/>
      </w:pPr>
      <w:r>
        <w:t xml:space="preserve">Interactive material — complete static record</w:t>
      </w:r>
    </w:p>
    <w:bookmarkStart w:id="352" w:name="X3bca05893aeeb8638e0c772a7ae58bbbbaf9508"/>
    <w:p>
      <w:pPr>
        <w:pStyle w:val="Heading2"/>
      </w:pPr>
      <w:r>
        <w:t xml:space="preserve">Part III — All six cases and sixteen variants</w:t>
      </w:r>
    </w:p>
    <w:p>
      <w:pPr>
        <w:pStyle w:val="FirstParagraph"/>
      </w:pPr>
      <w:r>
        <w:t xml:space="preserve">This appendix preserves every output and assigned record from the page’s six-case inspector: sixteen variants in total. These are assigned example facts, not proof that their metaphysical interpretation is true. wA and wB label alternatives, not times in God. A passing check establishes what the records supply; it does not prove divine simplicity, freedom, intrinsic invariance, or omniscience.</w:t>
      </w:r>
    </w:p>
    <w:bookmarkStart w:id="222" w:name="one-light-different-receptions"/>
    <w:p>
      <w:pPr>
        <w:pStyle w:val="Heading3"/>
      </w:pPr>
      <w:r>
        <w:t xml:space="preserve">1. One light, different receptions</w:t>
      </w:r>
    </w:p>
    <w:p>
      <w:pPr>
        <w:pStyle w:val="FirstParagraph"/>
      </w:pPr>
      <w:r>
        <w:t xml:space="preserve">Must a changed effect mean that its provider has changed?</w:t>
      </w:r>
    </w:p>
    <w:p>
      <w:pPr>
        <w:pStyle w:val="BodyText"/>
      </w:pPr>
      <w:r>
        <w:t xml:space="preserve">A lamp has the same recorded radiant power while the recipient moves. Compare this with a change that is merely relative to an observer.</w:t>
      </w:r>
    </w:p>
    <w:bookmarkStart w:id="213" w:name="the-recipient-moves"/>
    <w:p>
      <w:pPr>
        <w:pStyle w:val="Heading4"/>
      </w:pPr>
      <w:r>
        <w:t xml:space="preserve">1.1. The recipient moves</w:t>
      </w:r>
    </w:p>
    <w:p>
      <w:pPr>
        <w:pStyle w:val="FirstParagraph"/>
      </w:pPr>
      <w:r>
        <w:t xml:space="preserve">Status: finite example</w:t>
      </w:r>
    </w:p>
    <w:p>
      <w:pPr>
        <w:pStyle w:val="BodyText"/>
      </w:pPr>
      <w:r>
        <w:t xml:space="preserve">Finite reception can help determine an effect’s mode.</w:t>
      </w:r>
    </w:p>
    <w:bookmarkStart w:id="206" w:name="what-differs-in-this-example"/>
    <w:p>
      <w:pPr>
        <w:pStyle w:val="Heading5"/>
      </w:pPr>
      <w:r>
        <w:t xml:space="preserve">What differs in this example</w:t>
      </w:r>
    </w:p>
    <w:p>
      <w:pPr>
        <w:pStyle w:val="Compact"/>
        <w:numPr>
          <w:ilvl w:val="0"/>
          <w:numId w:val="1004"/>
        </w:numPr>
      </w:pPr>
      <w:r>
        <w:t xml:space="preserve">Recipient conditions</w:t>
      </w:r>
    </w:p>
    <w:p>
      <w:pPr>
        <w:pStyle w:val="Compact"/>
        <w:numPr>
          <w:ilvl w:val="0"/>
          <w:numId w:val="1004"/>
        </w:numPr>
      </w:pPr>
      <w:r>
        <w:t xml:space="preserve">Received illumination</w:t>
      </w:r>
    </w:p>
    <w:bookmarkEnd w:id="206"/>
    <w:bookmarkStart w:id="207" w:name="checks-against-the-assigned-records"/>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provider-stable</w:t>
            </w:r>
          </w:p>
        </w:tc>
        <w:tc>
          <w:tcPr>
            <w:tcW w:type="dxa" w:w="2749"/>
          </w:tcPr>
          <w:p>
            <w:pPr>
              <w:pStyle w:val="BodyText"/>
              <w:keepNext w:val="0"/>
              <w:spacing w:after="80" w:line="252" w:lineRule="auto"/>
              <w:jc w:val="left"/>
            </w:pPr>
            <w:r>
              <w:rPr>
                <w:rFonts w:ascii="Calibri" w:hAnsi="Calibri"/>
                <w:sz w:val="17"/>
              </w:rPr>
              <w:t xml:space="preserve">The recorded radiant power is stable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This compares one measured respect, not every intrinsic property of a finite lamp.</w:t>
            </w:r>
          </w:p>
        </w:tc>
      </w:tr>
      <w:tr>
        <w:tc>
          <w:tcPr>
            <w:tcW w:type="dxa" w:w="1689"/>
          </w:tcPr>
          <w:p>
            <w:pPr>
              <w:pStyle w:val="BodyText"/>
              <w:keepNext w:val="0"/>
              <w:spacing w:after="80" w:line="252" w:lineRule="auto"/>
              <w:jc w:val="left"/>
            </w:pPr>
            <w:r>
              <w:rPr>
                <w:rFonts w:ascii="Calibri" w:hAnsi="Calibri"/>
                <w:sz w:val="17"/>
              </w:rPr>
              <w:t xml:space="preserve">reception</w:t>
            </w:r>
          </w:p>
        </w:tc>
        <w:tc>
          <w:tcPr>
            <w:tcW w:type="dxa" w:w="2749"/>
          </w:tcPr>
          <w:p>
            <w:pPr>
              <w:pStyle w:val="BodyText"/>
              <w:keepNext w:val="0"/>
              <w:spacing w:after="80" w:line="252" w:lineRule="auto"/>
              <w:jc w:val="left"/>
            </w:pPr>
            <w:r>
              <w:rPr>
                <w:rFonts w:ascii="Calibri" w:hAnsi="Calibri"/>
                <w:sz w:val="17"/>
              </w:rPr>
              <w:t xml:space="preserve">Different reception is causally recorded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Changing received light requires recipient differences and recorded illumination; a relative description alone is insufficient.</w:t>
            </w:r>
          </w:p>
        </w:tc>
      </w:tr>
    </w:tbl>
    <w:bookmarkEnd w:id="207"/>
    <w:bookmarkStart w:id="208" w:name="what-the-assigned-facts-support"/>
    <w:p>
      <w:pPr>
        <w:pStyle w:val="Heading5"/>
      </w:pPr>
      <w:r>
        <w:t xml:space="preserve">What the assigned facts support</w:t>
      </w:r>
    </w:p>
    <w:p>
      <w:pPr>
        <w:pStyle w:val="Compact"/>
        <w:numPr>
          <w:ilvl w:val="0"/>
          <w:numId w:val="1005"/>
        </w:numPr>
      </w:pPr>
      <w:r>
        <w:t xml:space="preserve">The received effect varies although the provider’s recorded radiant power does not.</w:t>
      </w:r>
    </w:p>
    <w:bookmarkEnd w:id="208"/>
    <w:bookmarkStart w:id="209" w:name="what-they-do-not-establish"/>
    <w:p>
      <w:pPr>
        <w:pStyle w:val="Heading5"/>
      </w:pPr>
      <w:r>
        <w:t xml:space="preserve">What they do not establish</w:t>
      </w:r>
    </w:p>
    <w:p>
      <w:pPr>
        <w:pStyle w:val="Compact"/>
        <w:numPr>
          <w:ilvl w:val="0"/>
          <w:numId w:val="1006"/>
        </w:numPr>
      </w:pPr>
      <w:r>
        <w:t xml:space="preserve">No inference to an absolutely invariant source, divine simplicity, or intentional authorship follows.</w:t>
      </w:r>
    </w:p>
    <w:bookmarkEnd w:id="209"/>
    <w:bookmarkStart w:id="212" w:name="assigned-facts"/>
    <w:p>
      <w:pPr>
        <w:pStyle w:val="Heading5"/>
      </w:pPr>
      <w:r>
        <w:t xml:space="preserve">Assigned facts</w:t>
      </w:r>
    </w:p>
    <w:bookmarkStart w:id="210" w:name="intrinsic-6-assigned-records"/>
    <w:p>
      <w:pPr>
        <w:pStyle w:val="Heading6"/>
      </w:pPr>
      <w:r>
        <w:t xml:space="preserve">intrinsic — 6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["lamp","radiant-power","steady","t0"]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["lamp","radiant-power","steady","t1"]</w:t>
            </w:r>
          </w:p>
        </w:tc>
      </w:tr>
      <w:tr>
        <w:tc>
          <w:tcPr>
            <w:tcW w:type="dxa" w:w="2484"/>
          </w:tcPr>
          <w:p>
            <w:pPr>
              <w:pStyle w:val="BodyText"/>
              <w:keepNext w:val="0"/>
              <w:spacing w:after="80" w:line="252" w:lineRule="auto"/>
              <w:jc w:val="left"/>
            </w:pPr>
            <w:r>
              <w:rPr>
                <w:rFonts w:ascii="Calibri" w:hAnsi="Calibri"/>
                <w:sz w:val="17"/>
              </w:rPr>
              <w:t xml:space="preserve">3</w:t>
            </w:r>
          </w:p>
        </w:tc>
        <w:tc>
          <w:tcPr>
            <w:tcW w:type="dxa" w:w="7452"/>
          </w:tcPr>
          <w:p>
            <w:pPr>
              <w:pStyle w:val="BodyText"/>
              <w:keepNext w:val="0"/>
              <w:spacing w:after="80" w:line="252" w:lineRule="auto"/>
              <w:jc w:val="left"/>
            </w:pPr>
            <w:r>
              <w:rPr>
                <w:rFonts w:ascii="Calibri" w:hAnsi="Calibri"/>
                <w:sz w:val="17"/>
              </w:rPr>
              <w:t xml:space="preserve">["recipient","distance","near","t0"]</w:t>
            </w:r>
          </w:p>
        </w:tc>
      </w:tr>
      <w:tr>
        <w:tc>
          <w:tcPr>
            <w:tcW w:type="dxa" w:w="2484"/>
          </w:tcPr>
          <w:p>
            <w:pPr>
              <w:pStyle w:val="BodyText"/>
              <w:keepNext w:val="0"/>
              <w:spacing w:after="80" w:line="252" w:lineRule="auto"/>
              <w:jc w:val="left"/>
            </w:pPr>
            <w:r>
              <w:rPr>
                <w:rFonts w:ascii="Calibri" w:hAnsi="Calibri"/>
                <w:sz w:val="17"/>
              </w:rPr>
              <w:t xml:space="preserve">4</w:t>
            </w:r>
          </w:p>
        </w:tc>
        <w:tc>
          <w:tcPr>
            <w:tcW w:type="dxa" w:w="7452"/>
          </w:tcPr>
          <w:p>
            <w:pPr>
              <w:pStyle w:val="BodyText"/>
              <w:keepNext w:val="0"/>
              <w:spacing w:after="80" w:line="252" w:lineRule="auto"/>
              <w:jc w:val="left"/>
            </w:pPr>
            <w:r>
              <w:rPr>
                <w:rFonts w:ascii="Calibri" w:hAnsi="Calibri"/>
                <w:sz w:val="17"/>
              </w:rPr>
              <w:t xml:space="preserve">["recipient","distance","far","t1"]</w:t>
            </w:r>
          </w:p>
        </w:tc>
      </w:tr>
      <w:tr>
        <w:tc>
          <w:tcPr>
            <w:tcW w:type="dxa" w:w="2484"/>
          </w:tcPr>
          <w:p>
            <w:pPr>
              <w:pStyle w:val="BodyText"/>
              <w:keepNext w:val="0"/>
              <w:spacing w:after="80" w:line="252" w:lineRule="auto"/>
              <w:jc w:val="left"/>
            </w:pPr>
            <w:r>
              <w:rPr>
                <w:rFonts w:ascii="Calibri" w:hAnsi="Calibri"/>
                <w:sz w:val="17"/>
              </w:rPr>
              <w:t xml:space="preserve">5</w:t>
            </w:r>
          </w:p>
        </w:tc>
        <w:tc>
          <w:tcPr>
            <w:tcW w:type="dxa" w:w="7452"/>
          </w:tcPr>
          <w:p>
            <w:pPr>
              <w:pStyle w:val="BodyText"/>
              <w:keepNext w:val="0"/>
              <w:spacing w:after="80" w:line="252" w:lineRule="auto"/>
              <w:jc w:val="left"/>
            </w:pPr>
            <w:r>
              <w:rPr>
                <w:rFonts w:ascii="Calibri" w:hAnsi="Calibri"/>
                <w:sz w:val="17"/>
              </w:rPr>
              <w:t xml:space="preserve">["recipient","received-light","brighter","t0"]</w:t>
            </w:r>
          </w:p>
        </w:tc>
      </w:tr>
      <w:tr>
        <w:tc>
          <w:tcPr>
            <w:tcW w:type="dxa" w:w="2484"/>
          </w:tcPr>
          <w:p>
            <w:pPr>
              <w:pStyle w:val="BodyText"/>
              <w:keepNext w:val="0"/>
              <w:spacing w:after="80" w:line="252" w:lineRule="auto"/>
              <w:jc w:val="left"/>
            </w:pPr>
            <w:r>
              <w:rPr>
                <w:rFonts w:ascii="Calibri" w:hAnsi="Calibri"/>
                <w:sz w:val="17"/>
              </w:rPr>
              <w:t xml:space="preserve">6</w:t>
            </w:r>
          </w:p>
        </w:tc>
        <w:tc>
          <w:tcPr>
            <w:tcW w:type="dxa" w:w="7452"/>
          </w:tcPr>
          <w:p>
            <w:pPr>
              <w:pStyle w:val="BodyText"/>
              <w:keepNext w:val="0"/>
              <w:spacing w:after="80" w:line="252" w:lineRule="auto"/>
              <w:jc w:val="left"/>
            </w:pPr>
            <w:r>
              <w:rPr>
                <w:rFonts w:ascii="Calibri" w:hAnsi="Calibri"/>
                <w:sz w:val="17"/>
              </w:rPr>
              <w:t xml:space="preserve">["recipient","received-light","dimmer","t1"]</w:t>
            </w:r>
          </w:p>
        </w:tc>
      </w:tr>
    </w:tbl>
    <w:bookmarkEnd w:id="210"/>
    <w:bookmarkStart w:id="211" w:name="acts-2-assigned-records"/>
    <w:p>
      <w:pPr>
        <w:pStyle w:val="Heading6"/>
      </w:pPr>
      <w:r>
        <w:t xml:space="preserve">acts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["lamp","illumination","recipient","t0"]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["lamp","illumination","recipient","t1"]</w:t>
            </w:r>
          </w:p>
        </w:tc>
      </w:tr>
    </w:tbl>
    <w:p>
      <w:pPr>
        <w:pStyle w:val="BodyText"/>
      </w:pPr>
      <w:r>
        <w:t xml:space="preserve">No records supplied in these categories: relations, control, intentions, roles, realizers, representation, truth, access, warrant, knowledge, capacity, selection, absence, constituents, dependence. Missing records mean “not supplied in this display,” rather than universal nonexistence.</w:t>
      </w:r>
    </w:p>
    <w:bookmarkEnd w:id="211"/>
    <w:bookmarkEnd w:id="212"/>
    <w:bookmarkEnd w:id="213"/>
    <w:bookmarkStart w:id="221" w:name="only-the-observer-changes"/>
    <w:p>
      <w:pPr>
        <w:pStyle w:val="Heading4"/>
      </w:pPr>
      <w:r>
        <w:t xml:space="preserve">1.2. Only the observer changes</w:t>
      </w:r>
    </w:p>
    <w:p>
      <w:pPr>
        <w:pStyle w:val="FirstParagraph"/>
      </w:pPr>
      <w:r>
        <w:t xml:space="preserve">Status: finite example</w:t>
      </w:r>
    </w:p>
    <w:p>
      <w:pPr>
        <w:pStyle w:val="BodyText"/>
      </w:pPr>
      <w:r>
        <w:t xml:space="preserve">A Cambridge change does not supply authorship.</w:t>
      </w:r>
    </w:p>
    <w:bookmarkStart w:id="214" w:name="what-differs-in-this-example-1"/>
    <w:p>
      <w:pPr>
        <w:pStyle w:val="Heading5"/>
      </w:pPr>
      <w:r>
        <w:t xml:space="preserve">What differs in this example</w:t>
      </w:r>
    </w:p>
    <w:p>
      <w:pPr>
        <w:pStyle w:val="Compact"/>
        <w:numPr>
          <w:ilvl w:val="0"/>
          <w:numId w:val="1007"/>
        </w:numPr>
      </w:pPr>
      <w:r>
        <w:t xml:space="preserve">Observer position</w:t>
      </w:r>
    </w:p>
    <w:p>
      <w:pPr>
        <w:pStyle w:val="Compact"/>
        <w:numPr>
          <w:ilvl w:val="0"/>
          <w:numId w:val="1007"/>
        </w:numPr>
      </w:pPr>
      <w:r>
        <w:t xml:space="preserve">A relative description</w:t>
      </w:r>
    </w:p>
    <w:bookmarkEnd w:id="214"/>
    <w:bookmarkStart w:id="215" w:name="checks-against-the-assigned-records-1"/>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provider-stable</w:t>
            </w:r>
          </w:p>
        </w:tc>
        <w:tc>
          <w:tcPr>
            <w:tcW w:type="dxa" w:w="2749"/>
          </w:tcPr>
          <w:p>
            <w:pPr>
              <w:pStyle w:val="BodyText"/>
              <w:keepNext w:val="0"/>
              <w:spacing w:after="80" w:line="252" w:lineRule="auto"/>
              <w:jc w:val="left"/>
            </w:pPr>
            <w:r>
              <w:rPr>
                <w:rFonts w:ascii="Calibri" w:hAnsi="Calibri"/>
                <w:sz w:val="17"/>
              </w:rPr>
              <w:t xml:space="preserve">The recorded radiant power is stable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This compares one measured respect, not every intrinsic property of a finite lamp.</w:t>
            </w:r>
          </w:p>
        </w:tc>
      </w:tr>
      <w:tr>
        <w:tc>
          <w:tcPr>
            <w:tcW w:type="dxa" w:w="1689"/>
          </w:tcPr>
          <w:p>
            <w:pPr>
              <w:pStyle w:val="BodyText"/>
              <w:keepNext w:val="0"/>
              <w:spacing w:after="80" w:line="252" w:lineRule="auto"/>
              <w:jc w:val="left"/>
            </w:pPr>
            <w:r>
              <w:rPr>
                <w:rFonts w:ascii="Calibri" w:hAnsi="Calibri"/>
                <w:sz w:val="17"/>
              </w:rPr>
              <w:t xml:space="preserve">reception</w:t>
            </w:r>
          </w:p>
        </w:tc>
        <w:tc>
          <w:tcPr>
            <w:tcW w:type="dxa" w:w="2749"/>
          </w:tcPr>
          <w:p>
            <w:pPr>
              <w:pStyle w:val="BodyText"/>
              <w:keepNext w:val="0"/>
              <w:spacing w:after="80" w:line="252" w:lineRule="auto"/>
              <w:jc w:val="left"/>
            </w:pPr>
            <w:r>
              <w:rPr>
                <w:rFonts w:ascii="Calibri" w:hAnsi="Calibri"/>
                <w:sz w:val="17"/>
              </w:rPr>
              <w:t xml:space="preserve">Different reception is causally recorded</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Changing received light requires recipient differences and recorded illumination; a relative description alone is insufficient.</w:t>
            </w:r>
          </w:p>
        </w:tc>
      </w:tr>
    </w:tbl>
    <w:bookmarkEnd w:id="215"/>
    <w:bookmarkStart w:id="216" w:name="what-the-assigned-facts-support-1"/>
    <w:p>
      <w:pPr>
        <w:pStyle w:val="Heading5"/>
      </w:pPr>
      <w:r>
        <w:t xml:space="preserve">What the assigned facts support</w:t>
      </w:r>
    </w:p>
    <w:p>
      <w:pPr>
        <w:pStyle w:val="Compact"/>
        <w:numPr>
          <w:ilvl w:val="0"/>
          <w:numId w:val="1008"/>
        </w:numPr>
      </w:pPr>
      <w:r>
        <w:t xml:space="preserve">A changed relative description need not establish any act by the thing described.</w:t>
      </w:r>
    </w:p>
    <w:bookmarkEnd w:id="216"/>
    <w:bookmarkStart w:id="217" w:name="what-they-do-not-establish-1"/>
    <w:p>
      <w:pPr>
        <w:pStyle w:val="Heading5"/>
      </w:pPr>
      <w:r>
        <w:t xml:space="preserve">What they do not establish</w:t>
      </w:r>
    </w:p>
    <w:p>
      <w:pPr>
        <w:pStyle w:val="Compact"/>
        <w:numPr>
          <w:ilvl w:val="0"/>
          <w:numId w:val="1009"/>
        </w:numPr>
      </w:pPr>
      <w:r>
        <w:t xml:space="preserve">No inference to an absolutely invariant source, divine simplicity, or intentional authorship follows.</w:t>
      </w:r>
    </w:p>
    <w:bookmarkEnd w:id="217"/>
    <w:bookmarkStart w:id="220" w:name="assigned-facts-1"/>
    <w:p>
      <w:pPr>
        <w:pStyle w:val="Heading5"/>
      </w:pPr>
      <w:r>
        <w:t xml:space="preserve">Assigned facts</w:t>
      </w:r>
    </w:p>
    <w:bookmarkStart w:id="218" w:name="intrinsic-4-assigned-records"/>
    <w:p>
      <w:pPr>
        <w:pStyle w:val="Heading6"/>
      </w:pPr>
      <w:r>
        <w:t xml:space="preserve">intrinsic — 4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["lamp","radiant-power","steady","t0"]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["lamp","radiant-power","steady","t1"]</w:t>
            </w:r>
          </w:p>
        </w:tc>
      </w:tr>
      <w:tr>
        <w:tc>
          <w:tcPr>
            <w:tcW w:type="dxa" w:w="2484"/>
          </w:tcPr>
          <w:p>
            <w:pPr>
              <w:pStyle w:val="BodyText"/>
              <w:keepNext w:val="0"/>
              <w:spacing w:after="80" w:line="252" w:lineRule="auto"/>
              <w:jc w:val="left"/>
            </w:pPr>
            <w:r>
              <w:rPr>
                <w:rFonts w:ascii="Calibri" w:hAnsi="Calibri"/>
                <w:sz w:val="17"/>
              </w:rPr>
              <w:t xml:space="preserve">3</w:t>
            </w:r>
          </w:p>
        </w:tc>
        <w:tc>
          <w:tcPr>
            <w:tcW w:type="dxa" w:w="7452"/>
          </w:tcPr>
          <w:p>
            <w:pPr>
              <w:pStyle w:val="BodyText"/>
              <w:keepNext w:val="0"/>
              <w:spacing w:after="80" w:line="252" w:lineRule="auto"/>
              <w:jc w:val="left"/>
            </w:pPr>
            <w:r>
              <w:rPr>
                <w:rFonts w:ascii="Calibri" w:hAnsi="Calibri"/>
                <w:sz w:val="17"/>
              </w:rPr>
              <w:t xml:space="preserve">["observer","position","near","t0"]</w:t>
            </w:r>
          </w:p>
        </w:tc>
      </w:tr>
      <w:tr>
        <w:tc>
          <w:tcPr>
            <w:tcW w:type="dxa" w:w="2484"/>
          </w:tcPr>
          <w:p>
            <w:pPr>
              <w:pStyle w:val="BodyText"/>
              <w:keepNext w:val="0"/>
              <w:spacing w:after="80" w:line="252" w:lineRule="auto"/>
              <w:jc w:val="left"/>
            </w:pPr>
            <w:r>
              <w:rPr>
                <w:rFonts w:ascii="Calibri" w:hAnsi="Calibri"/>
                <w:sz w:val="17"/>
              </w:rPr>
              <w:t xml:space="preserve">4</w:t>
            </w:r>
          </w:p>
        </w:tc>
        <w:tc>
          <w:tcPr>
            <w:tcW w:type="dxa" w:w="7452"/>
          </w:tcPr>
          <w:p>
            <w:pPr>
              <w:pStyle w:val="BodyText"/>
              <w:keepNext w:val="0"/>
              <w:spacing w:after="80" w:line="252" w:lineRule="auto"/>
              <w:jc w:val="left"/>
            </w:pPr>
            <w:r>
              <w:rPr>
                <w:rFonts w:ascii="Calibri" w:hAnsi="Calibri"/>
                <w:sz w:val="17"/>
              </w:rPr>
              <w:t xml:space="preserve">["observer","position","far","t1"]</w:t>
            </w:r>
          </w:p>
        </w:tc>
      </w:tr>
    </w:tbl>
    <w:bookmarkEnd w:id="218"/>
    <w:bookmarkStart w:id="219" w:name="relations-2-assigned-records"/>
    <w:p>
      <w:pPr>
        <w:pStyle w:val="Heading6"/>
      </w:pPr>
      <w:r>
        <w:t xml:space="preserve">relations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["lamp","relative-to-observer","near","t0"]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["lamp","relative-to-observer","far","t1"]</w:t>
            </w:r>
          </w:p>
        </w:tc>
      </w:tr>
    </w:tbl>
    <w:p>
      <w:pPr>
        <w:pStyle w:val="BodyText"/>
      </w:pPr>
      <w:r>
        <w:t xml:space="preserve">No records supplied in these categories: acts, control, intentions, roles, realizers, representation, truth, access, warrant, knowledge, capacity, selection, absence, constituents, dependence. Missing records mean “not supplied in this display,” rather than universal nonexistence.</w:t>
      </w:r>
    </w:p>
    <w:bookmarkEnd w:id="219"/>
    <w:bookmarkEnd w:id="220"/>
    <w:bookmarkEnd w:id="221"/>
    <w:bookmarkEnd w:id="222"/>
    <w:bookmarkStart w:id="240" w:name="one-gift-different-intended-goods"/>
    <w:p>
      <w:pPr>
        <w:pStyle w:val="Heading3"/>
      </w:pPr>
      <w:r>
        <w:t xml:space="preserve">2. One gift, different intended goods</w:t>
      </w:r>
    </w:p>
    <w:p>
      <w:pPr>
        <w:pStyle w:val="FirstParagraph"/>
      </w:pPr>
      <w:r>
        <w:t xml:space="preserve">Does the physical outcome tell us everything about the intention?</w:t>
      </w:r>
    </w:p>
    <w:p>
      <w:pPr>
        <w:pStyle w:val="BodyText"/>
      </w:pPr>
      <w:r>
        <w:t xml:space="preserve">The same blanket can be given to relieve cold or to recognize a person’s dignity. Intention and control must be recorded separately from the benefit.</w:t>
      </w:r>
    </w:p>
    <w:bookmarkStart w:id="231" w:name="Xf46ed1407e9f9ccee7d09bfec6f753444fcde6c"/>
    <w:p>
      <w:pPr>
        <w:pStyle w:val="Heading4"/>
      </w:pPr>
      <w:r>
        <w:t xml:space="preserve">2.1. Two controlled, differently intended gifts</w:t>
      </w:r>
    </w:p>
    <w:p>
      <w:pPr>
        <w:pStyle w:val="FirstParagraph"/>
      </w:pPr>
      <w:r>
        <w:t xml:space="preserve">Status: finite example</w:t>
      </w:r>
    </w:p>
    <w:p>
      <w:pPr>
        <w:pStyle w:val="BodyText"/>
      </w:pPr>
      <w:r>
        <w:t xml:space="preserve">Same effect; genuinely different intended goods.</w:t>
      </w:r>
    </w:p>
    <w:bookmarkStart w:id="223" w:name="what-differs-in-this-example-2"/>
    <w:p>
      <w:pPr>
        <w:pStyle w:val="Heading5"/>
      </w:pPr>
      <w:r>
        <w:t xml:space="preserve">What differs in this example</w:t>
      </w:r>
    </w:p>
    <w:p>
      <w:pPr>
        <w:pStyle w:val="Compact"/>
        <w:numPr>
          <w:ilvl w:val="0"/>
          <w:numId w:val="1010"/>
        </w:numPr>
      </w:pPr>
      <w:r>
        <w:t xml:space="preserve">Intentional direction</w:t>
      </w:r>
    </w:p>
    <w:p>
      <w:pPr>
        <w:pStyle w:val="Compact"/>
        <w:numPr>
          <w:ilvl w:val="0"/>
          <w:numId w:val="1010"/>
        </w:numPr>
      </w:pPr>
      <w:r>
        <w:t xml:space="preserve">Controlled action</w:t>
      </w:r>
    </w:p>
    <w:bookmarkEnd w:id="223"/>
    <w:bookmarkStart w:id="224" w:name="checks-against-the-assigned-records-2"/>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same-effect</w:t>
            </w:r>
          </w:p>
        </w:tc>
        <w:tc>
          <w:tcPr>
            <w:tcW w:type="dxa" w:w="2749"/>
          </w:tcPr>
          <w:p>
            <w:pPr>
              <w:pStyle w:val="BodyText"/>
              <w:keepNext w:val="0"/>
              <w:spacing w:after="80" w:line="252" w:lineRule="auto"/>
              <w:jc w:val="left"/>
            </w:pPr>
            <w:r>
              <w:rPr>
                <w:rFonts w:ascii="Calibri" w:hAnsi="Calibri"/>
                <w:sz w:val="17"/>
              </w:rPr>
              <w:t xml:space="preserve">The physical gift outcome is the same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comparison concerns the same recorded outcome, not numerical identity of the acts.</w:t>
            </w:r>
          </w:p>
        </w:tc>
      </w:tr>
      <w:tr>
        <w:tc>
          <w:tcPr>
            <w:tcW w:type="dxa" w:w="1689"/>
          </w:tcPr>
          <w:p>
            <w:pPr>
              <w:pStyle w:val="BodyText"/>
              <w:keepNext w:val="0"/>
              <w:spacing w:after="80" w:line="252" w:lineRule="auto"/>
              <w:jc w:val="left"/>
            </w:pPr>
            <w:r>
              <w:rPr>
                <w:rFonts w:ascii="Calibri" w:hAnsi="Calibri"/>
                <w:sz w:val="17"/>
              </w:rPr>
              <w:t xml:space="preserve">intentional-direction</w:t>
            </w:r>
          </w:p>
        </w:tc>
        <w:tc>
          <w:tcPr>
            <w:tcW w:type="dxa" w:w="2749"/>
          </w:tcPr>
          <w:p>
            <w:pPr>
              <w:pStyle w:val="BodyText"/>
              <w:keepNext w:val="0"/>
              <w:spacing w:after="80" w:line="252" w:lineRule="auto"/>
              <w:jc w:val="left"/>
            </w:pPr>
            <w:r>
              <w:rPr>
                <w:rFonts w:ascii="Calibri" w:hAnsi="Calibri"/>
                <w:sz w:val="17"/>
              </w:rPr>
              <w:t xml:space="preserve">Different intentions have recorded control</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Both intention and control are recorded separately from the physical effect.</w:t>
            </w:r>
          </w:p>
        </w:tc>
      </w:tr>
    </w:tbl>
    <w:bookmarkEnd w:id="224"/>
    <w:bookmarkStart w:id="225" w:name="what-the-assigned-facts-support-2"/>
    <w:p>
      <w:pPr>
        <w:pStyle w:val="Heading5"/>
      </w:pPr>
      <w:r>
        <w:t xml:space="preserve">What the assigned facts support</w:t>
      </w:r>
    </w:p>
    <w:p>
      <w:pPr>
        <w:pStyle w:val="Compact"/>
        <w:numPr>
          <w:ilvl w:val="0"/>
          <w:numId w:val="1011"/>
        </w:numPr>
      </w:pPr>
      <w:r>
        <w:t xml:space="preserve">The complete intentional description is not fixed by the physical outcome alone.</w:t>
      </w:r>
    </w:p>
    <w:bookmarkEnd w:id="225"/>
    <w:bookmarkStart w:id="226" w:name="what-they-do-not-establish-2"/>
    <w:p>
      <w:pPr>
        <w:pStyle w:val="Heading5"/>
      </w:pPr>
      <w:r>
        <w:t xml:space="preserve">What they do not establish</w:t>
      </w:r>
    </w:p>
    <w:p>
      <w:pPr>
        <w:pStyle w:val="Compact"/>
        <w:numPr>
          <w:ilvl w:val="0"/>
          <w:numId w:val="1012"/>
        </w:numPr>
      </w:pPr>
      <w:r>
        <w:t xml:space="preserve">These finite cases do not decide whether divine intentional differences are intrinsic or relational.</w:t>
      </w:r>
    </w:p>
    <w:p>
      <w:pPr>
        <w:pStyle w:val="Compact"/>
        <w:numPr>
          <w:ilvl w:val="0"/>
          <w:numId w:val="1012"/>
        </w:numPr>
      </w:pPr>
      <w:r>
        <w:t xml:space="preserve">An intention’s presence does not by itself establish its moral adequacy.</w:t>
      </w:r>
    </w:p>
    <w:bookmarkEnd w:id="226"/>
    <w:bookmarkStart w:id="230" w:name="assigned-facts-2"/>
    <w:p>
      <w:pPr>
        <w:pStyle w:val="Heading5"/>
      </w:pPr>
      <w:r>
        <w:t xml:space="preserve">Assigned facts</w:t>
      </w:r>
    </w:p>
    <w:bookmarkStart w:id="227" w:name="acts-2-assigned-records-1"/>
    <w:p>
      <w:pPr>
        <w:pStyle w:val="Heading6"/>
      </w:pPr>
      <w:r>
        <w:t xml:space="preserve">acts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["friend","gift-care","blanket-delivered","t0"]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["friend","gift-recognition","blanket-delivered","t1"]</w:t>
            </w:r>
          </w:p>
        </w:tc>
      </w:tr>
    </w:tbl>
    <w:bookmarkEnd w:id="227"/>
    <w:bookmarkStart w:id="228" w:name="control-2-assigned-records"/>
    <w:p>
      <w:pPr>
        <w:pStyle w:val="Heading6"/>
      </w:pPr>
      <w:r>
        <w:t xml:space="preserve">control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["friend","gift-care","t0"]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["friend","gift-recognition","t1"]</w:t>
            </w:r>
          </w:p>
        </w:tc>
      </w:tr>
    </w:tbl>
    <w:bookmarkEnd w:id="228"/>
    <w:bookmarkStart w:id="229" w:name="intentions-2-assigned-records"/>
    <w:p>
      <w:pPr>
        <w:pStyle w:val="Heading6"/>
      </w:pPr>
      <w:r>
        <w:t xml:space="preserve">intentions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["friend","gift-care","relieve-cold","t0"]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["friend","gift-recognition","acknowledge-dignity","t1"]</w:t>
            </w:r>
          </w:p>
        </w:tc>
      </w:tr>
    </w:tbl>
    <w:p>
      <w:pPr>
        <w:pStyle w:val="BodyText"/>
      </w:pPr>
      <w:r>
        <w:t xml:space="preserve">No records supplied in these categories: intrinsic, relations, roles, realizers, representation, truth, access, warrant, knowledge, capacity, selection, absence, constituents, dependence. Missing records mean “not supplied in this display,” rather than universal nonexistence.</w:t>
      </w:r>
    </w:p>
    <w:bookmarkEnd w:id="229"/>
    <w:bookmarkEnd w:id="230"/>
    <w:bookmarkEnd w:id="231"/>
    <w:bookmarkStart w:id="239" w:name="a-benefit-arrives-accidentally"/>
    <w:p>
      <w:pPr>
        <w:pStyle w:val="Heading4"/>
      </w:pPr>
      <w:r>
        <w:t xml:space="preserve">2.2. A benefit arrives accidentally</w:t>
      </w:r>
    </w:p>
    <w:p>
      <w:pPr>
        <w:pStyle w:val="FirstParagraph"/>
      </w:pPr>
      <w:r>
        <w:t xml:space="preserve">Status: finite example</w:t>
      </w:r>
    </w:p>
    <w:p>
      <w:pPr>
        <w:pStyle w:val="BodyText"/>
      </w:pPr>
      <w:r>
        <w:t xml:space="preserve">Benefit is not sufficient evidence of authorship.</w:t>
      </w:r>
    </w:p>
    <w:bookmarkStart w:id="232" w:name="what-differs-in-this-example-3"/>
    <w:p>
      <w:pPr>
        <w:pStyle w:val="Heading5"/>
      </w:pPr>
      <w:r>
        <w:t xml:space="preserve">What differs in this example</w:t>
      </w:r>
    </w:p>
    <w:p>
      <w:pPr>
        <w:pStyle w:val="Compact"/>
        <w:numPr>
          <w:ilvl w:val="0"/>
          <w:numId w:val="1013"/>
        </w:numPr>
      </w:pPr>
      <w:r>
        <w:t xml:space="preserve">Recipient benefit without recorded intentional authorship</w:t>
      </w:r>
    </w:p>
    <w:bookmarkEnd w:id="232"/>
    <w:bookmarkStart w:id="233" w:name="checks-against-the-assigned-records-3"/>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same-effect</w:t>
            </w:r>
          </w:p>
        </w:tc>
        <w:tc>
          <w:tcPr>
            <w:tcW w:type="dxa" w:w="2749"/>
          </w:tcPr>
          <w:p>
            <w:pPr>
              <w:pStyle w:val="BodyText"/>
              <w:keepNext w:val="0"/>
              <w:spacing w:after="80" w:line="252" w:lineRule="auto"/>
              <w:jc w:val="left"/>
            </w:pPr>
            <w:r>
              <w:rPr>
                <w:rFonts w:ascii="Calibri" w:hAnsi="Calibri"/>
                <w:sz w:val="17"/>
              </w:rPr>
              <w:t xml:space="preserve">The physical gift outcome is the same</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The comparison concerns the same recorded outcome, not numerical identity of the acts.</w:t>
            </w:r>
          </w:p>
        </w:tc>
      </w:tr>
      <w:tr>
        <w:tc>
          <w:tcPr>
            <w:tcW w:type="dxa" w:w="1689"/>
          </w:tcPr>
          <w:p>
            <w:pPr>
              <w:pStyle w:val="BodyText"/>
              <w:keepNext w:val="0"/>
              <w:spacing w:after="80" w:line="252" w:lineRule="auto"/>
              <w:jc w:val="left"/>
            </w:pPr>
            <w:r>
              <w:rPr>
                <w:rFonts w:ascii="Calibri" w:hAnsi="Calibri"/>
                <w:sz w:val="17"/>
              </w:rPr>
              <w:t xml:space="preserve">intentional-direction</w:t>
            </w:r>
          </w:p>
        </w:tc>
        <w:tc>
          <w:tcPr>
            <w:tcW w:type="dxa" w:w="2749"/>
          </w:tcPr>
          <w:p>
            <w:pPr>
              <w:pStyle w:val="BodyText"/>
              <w:keepNext w:val="0"/>
              <w:spacing w:after="80" w:line="252" w:lineRule="auto"/>
              <w:jc w:val="left"/>
            </w:pPr>
            <w:r>
              <w:rPr>
                <w:rFonts w:ascii="Calibri" w:hAnsi="Calibri"/>
                <w:sz w:val="17"/>
              </w:rPr>
              <w:t xml:space="preserve">Different intentions have recorded control</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Both intention and control are recorded separately from the physical effect.</w:t>
            </w:r>
          </w:p>
        </w:tc>
      </w:tr>
    </w:tbl>
    <w:bookmarkEnd w:id="233"/>
    <w:bookmarkStart w:id="234" w:name="what-the-assigned-facts-support-3"/>
    <w:p>
      <w:pPr>
        <w:pStyle w:val="Heading5"/>
      </w:pPr>
      <w:r>
        <w:t xml:space="preserve">What the assigned facts support</w:t>
      </w:r>
    </w:p>
    <w:p>
      <w:pPr>
        <w:pStyle w:val="Compact"/>
        <w:numPr>
          <w:ilvl w:val="0"/>
          <w:numId w:val="1014"/>
        </w:numPr>
      </w:pPr>
      <w:r>
        <w:t xml:space="preserve">A real benefit does not by itself establish an intentional gift.</w:t>
      </w:r>
    </w:p>
    <w:bookmarkEnd w:id="234"/>
    <w:bookmarkStart w:id="235" w:name="what-they-do-not-establish-3"/>
    <w:p>
      <w:pPr>
        <w:pStyle w:val="Heading5"/>
      </w:pPr>
      <w:r>
        <w:t xml:space="preserve">What they do not establish</w:t>
      </w:r>
    </w:p>
    <w:p>
      <w:pPr>
        <w:pStyle w:val="Compact"/>
        <w:numPr>
          <w:ilvl w:val="0"/>
          <w:numId w:val="1015"/>
        </w:numPr>
      </w:pPr>
      <w:r>
        <w:t xml:space="preserve">These finite cases do not decide whether divine intentional differences are intrinsic or relational.</w:t>
      </w:r>
    </w:p>
    <w:p>
      <w:pPr>
        <w:pStyle w:val="Compact"/>
        <w:numPr>
          <w:ilvl w:val="0"/>
          <w:numId w:val="1015"/>
        </w:numPr>
      </w:pPr>
      <w:r>
        <w:t xml:space="preserve">An intention’s presence does not by itself establish its moral adequacy.</w:t>
      </w:r>
    </w:p>
    <w:bookmarkEnd w:id="235"/>
    <w:bookmarkStart w:id="238" w:name="assigned-facts-3"/>
    <w:p>
      <w:pPr>
        <w:pStyle w:val="Heading5"/>
      </w:pPr>
      <w:r>
        <w:t xml:space="preserve">Assigned facts</w:t>
      </w:r>
    </w:p>
    <w:bookmarkStart w:id="236" w:name="intrinsic-1-assigned-record"/>
    <w:p>
      <w:pPr>
        <w:pStyle w:val="Heading6"/>
      </w:pPr>
      <w:r>
        <w:t xml:space="preserve">intrinsic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["recipient","warmth","increased","t0"]</w:t>
            </w:r>
          </w:p>
        </w:tc>
      </w:tr>
    </w:tbl>
    <w:bookmarkEnd w:id="236"/>
    <w:bookmarkStart w:id="237" w:name="acts-1-assigned-record"/>
    <w:p>
      <w:pPr>
        <w:pStyle w:val="Heading6"/>
      </w:pPr>
      <w:r>
        <w:t xml:space="preserve">acts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["wind","accidental-arrival","blanket-delivered","t0"]</w:t>
            </w:r>
          </w:p>
        </w:tc>
      </w:tr>
    </w:tbl>
    <w:p>
      <w:pPr>
        <w:pStyle w:val="BodyText"/>
      </w:pPr>
      <w:r>
        <w:t xml:space="preserve">No records supplied in these categories: relations, control, intentions, roles, realizers, representation, truth, access, warrant, knowledge, capacity, selection, absence, constituents, dependence. Missing records mean “not supplied in this display,” rather than universal nonexistence.</w:t>
      </w:r>
    </w:p>
    <w:bookmarkEnd w:id="237"/>
    <w:bookmarkEnd w:id="238"/>
    <w:bookmarkEnd w:id="239"/>
    <w:bookmarkEnd w:id="240"/>
    <w:bookmarkStart w:id="264" w:name="X0eed1baf1ad86f587c0455853d2677ed5ae2027"/>
    <w:p>
      <w:pPr>
        <w:pStyle w:val="Heading3"/>
      </w:pPr>
      <w:r>
        <w:t xml:space="preserve">3. Different descriptions, different realities?</w:t>
      </w:r>
    </w:p>
    <w:p>
      <w:pPr>
        <w:pStyle w:val="FirstParagraph"/>
      </w:pPr>
      <w:r>
        <w:t xml:space="preserve">Do two explanatory roles prove two intrinsic constituents?</w:t>
      </w:r>
    </w:p>
    <w:p>
      <w:pPr>
        <w:pStyle w:val="BodyText"/>
      </w:pPr>
      <w:r>
        <w:t xml:space="preserve">Understanding and willing are different descriptions. Knowing what realizes those roles requires additional facts; counting words does not settle what exists.</w:t>
      </w:r>
    </w:p>
    <w:bookmarkStart w:id="247" w:name="role-descriptions-only"/>
    <w:p>
      <w:pPr>
        <w:pStyle w:val="Heading4"/>
      </w:pPr>
      <w:r>
        <w:t xml:space="preserve">3.1. Role descriptions only</w:t>
      </w:r>
    </w:p>
    <w:p>
      <w:pPr>
        <w:pStyle w:val="FirstParagraph"/>
      </w:pPr>
      <w:r>
        <w:t xml:space="preserve">Status: finite example</w:t>
      </w:r>
    </w:p>
    <w:p>
      <w:pPr>
        <w:pStyle w:val="BodyText"/>
      </w:pPr>
      <w:r>
        <w:t xml:space="preserve">A difference of descriptions is not yet a count of constituents.</w:t>
      </w:r>
    </w:p>
    <w:bookmarkStart w:id="241" w:name="what-differs-in-this-example-4"/>
    <w:p>
      <w:pPr>
        <w:pStyle w:val="Heading5"/>
      </w:pPr>
      <w:r>
        <w:t xml:space="preserve">What differs in this example</w:t>
      </w:r>
    </w:p>
    <w:p>
      <w:pPr>
        <w:pStyle w:val="Compact"/>
        <w:numPr>
          <w:ilvl w:val="0"/>
          <w:numId w:val="1016"/>
        </w:numPr>
      </w:pPr>
      <w:r>
        <w:t xml:space="preserve">Distinct explanatory roles</w:t>
      </w:r>
    </w:p>
    <w:p>
      <w:pPr>
        <w:pStyle w:val="Compact"/>
        <w:numPr>
          <w:ilvl w:val="0"/>
          <w:numId w:val="1016"/>
        </w:numPr>
      </w:pPr>
      <w:r>
        <w:t xml:space="preserve">Realizer count remains unspecified</w:t>
      </w:r>
    </w:p>
    <w:bookmarkEnd w:id="241"/>
    <w:bookmarkStart w:id="242" w:name="checks-against-the-assigned-records-4"/>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roles-distinct</w:t>
            </w:r>
          </w:p>
        </w:tc>
        <w:tc>
          <w:tcPr>
            <w:tcW w:type="dxa" w:w="2749"/>
          </w:tcPr>
          <w:p>
            <w:pPr>
              <w:pStyle w:val="BodyText"/>
              <w:keepNext w:val="0"/>
              <w:spacing w:after="80" w:line="252" w:lineRule="auto"/>
              <w:jc w:val="left"/>
            </w:pPr>
            <w:r>
              <w:rPr>
                <w:rFonts w:ascii="Calibri" w:hAnsi="Calibri"/>
                <w:sz w:val="17"/>
              </w:rPr>
              <w:t xml:space="preserve">Two roles are described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descriptions differ before facts establish what realizes those roles.</w:t>
            </w:r>
          </w:p>
        </w:tc>
      </w:tr>
      <w:tr>
        <w:tc>
          <w:tcPr>
            <w:tcW w:type="dxa" w:w="1689"/>
          </w:tcPr>
          <w:p>
            <w:pPr>
              <w:pStyle w:val="BodyText"/>
              <w:keepNext w:val="0"/>
              <w:spacing w:after="80" w:line="252" w:lineRule="auto"/>
              <w:jc w:val="left"/>
            </w:pPr>
            <w:r>
              <w:rPr>
                <w:rFonts w:ascii="Calibri" w:hAnsi="Calibri"/>
                <w:sz w:val="17"/>
              </w:rPr>
              <w:t xml:space="preserve">realizers-supplied</w:t>
            </w:r>
          </w:p>
        </w:tc>
        <w:tc>
          <w:tcPr>
            <w:tcW w:type="dxa" w:w="2749"/>
          </w:tcPr>
          <w:p>
            <w:pPr>
              <w:pStyle w:val="BodyText"/>
              <w:keepNext w:val="0"/>
              <w:spacing w:after="80" w:line="252" w:lineRule="auto"/>
              <w:jc w:val="left"/>
            </w:pPr>
            <w:r>
              <w:rPr>
                <w:rFonts w:ascii="Calibri" w:hAnsi="Calibri"/>
                <w:sz w:val="17"/>
              </w:rPr>
              <w:t xml:space="preserve">What realizes each role is separately assigned</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A realizer assignment is additional information, not a deduction from two names.</w:t>
            </w:r>
          </w:p>
        </w:tc>
      </w:tr>
    </w:tbl>
    <w:bookmarkEnd w:id="242"/>
    <w:bookmarkStart w:id="243" w:name="what-the-assigned-facts-support-4"/>
    <w:p>
      <w:pPr>
        <w:pStyle w:val="Heading5"/>
      </w:pPr>
      <w:r>
        <w:t xml:space="preserve">What the assigned facts support</w:t>
      </w:r>
    </w:p>
    <w:p>
      <w:pPr>
        <w:pStyle w:val="Compact"/>
        <w:numPr>
          <w:ilvl w:val="0"/>
          <w:numId w:val="1017"/>
        </w:numPr>
      </w:pPr>
      <w:r>
        <w:t xml:space="preserve">Two role descriptions alone leave the number of realizers undetermined.</w:t>
      </w:r>
    </w:p>
    <w:bookmarkEnd w:id="243"/>
    <w:bookmarkStart w:id="244" w:name="what-they-do-not-establish-4"/>
    <w:p>
      <w:pPr>
        <w:pStyle w:val="Heading5"/>
      </w:pPr>
      <w:r>
        <w:t xml:space="preserve">What they do not establish</w:t>
      </w:r>
    </w:p>
    <w:p>
      <w:pPr>
        <w:pStyle w:val="Compact"/>
        <w:numPr>
          <w:ilvl w:val="0"/>
          <w:numId w:val="1018"/>
        </w:numPr>
      </w:pPr>
      <w:r>
        <w:t xml:space="preserve">Neither one shared realizer nor two distinct realizers proves an account of constitutive dependence.</w:t>
      </w:r>
    </w:p>
    <w:p>
      <w:pPr>
        <w:pStyle w:val="Compact"/>
        <w:numPr>
          <w:ilvl w:val="0"/>
          <w:numId w:val="1018"/>
        </w:numPr>
      </w:pPr>
      <w:r>
        <w:t xml:space="preserve">A shared realizer does not establish full divine simplicity; distinct roles do not refute it.</w:t>
      </w:r>
    </w:p>
    <w:bookmarkEnd w:id="244"/>
    <w:bookmarkStart w:id="246" w:name="assigned-facts-4"/>
    <w:p>
      <w:pPr>
        <w:pStyle w:val="Heading5"/>
      </w:pPr>
      <w:r>
        <w:t xml:space="preserve">Assigned facts</w:t>
      </w:r>
    </w:p>
    <w:bookmarkStart w:id="245" w:name="roles-2-assigned-records"/>
    <w:p>
      <w:pPr>
        <w:pStyle w:val="Heading6"/>
      </w:pPr>
      <w:r>
        <w:t xml:space="preserve">roles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["agent","understanding","t0"]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["agent","willing","t0"]</w:t>
            </w:r>
          </w:p>
        </w:tc>
      </w:tr>
    </w:tbl>
    <w:p>
      <w:pPr>
        <w:pStyle w:val="BodyText"/>
      </w:pPr>
      <w:r>
        <w:t xml:space="preserve">No records supplied in these categories: intrinsic, relations, acts, control, intentions, realizers, representation, truth, access, warrant, knowledge, capacity, selection, absence, constituents, dependence. Missing records mean “not supplied in this display,” rather than universal nonexistence.</w:t>
      </w:r>
    </w:p>
    <w:bookmarkEnd w:id="245"/>
    <w:bookmarkEnd w:id="246"/>
    <w:bookmarkEnd w:id="247"/>
    <w:bookmarkStart w:id="255" w:name="one-assigned-realizer"/>
    <w:p>
      <w:pPr>
        <w:pStyle w:val="Heading4"/>
      </w:pPr>
      <w:r>
        <w:t xml:space="preserve">3.2. One assigned realizer</w:t>
      </w:r>
    </w:p>
    <w:p>
      <w:pPr>
        <w:pStyle w:val="FirstParagraph"/>
      </w:pPr>
      <w:r>
        <w:t xml:space="preserve">Status: finite example</w:t>
      </w:r>
    </w:p>
    <w:p>
      <w:pPr>
        <w:pStyle w:val="BodyText"/>
      </w:pPr>
      <w:r>
        <w:t xml:space="preserve">Assignments say what exists; names alone do not.</w:t>
      </w:r>
    </w:p>
    <w:bookmarkStart w:id="248" w:name="what-differs-in-this-example-5"/>
    <w:p>
      <w:pPr>
        <w:pStyle w:val="Heading5"/>
      </w:pPr>
      <w:r>
        <w:t xml:space="preserve">What differs in this example</w:t>
      </w:r>
    </w:p>
    <w:p>
      <w:pPr>
        <w:pStyle w:val="Compact"/>
        <w:numPr>
          <w:ilvl w:val="0"/>
          <w:numId w:val="1019"/>
        </w:numPr>
      </w:pPr>
      <w:r>
        <w:t xml:space="preserve">1 stipulated realizer</w:t>
      </w:r>
    </w:p>
    <w:p>
      <w:pPr>
        <w:pStyle w:val="Compact"/>
        <w:numPr>
          <w:ilvl w:val="0"/>
          <w:numId w:val="1019"/>
        </w:numPr>
      </w:pPr>
      <w:r>
        <w:t xml:space="preserve">Distinct explanatory roles</w:t>
      </w:r>
    </w:p>
    <w:bookmarkEnd w:id="248"/>
    <w:bookmarkStart w:id="249" w:name="checks-against-the-assigned-records-5"/>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roles-distinct</w:t>
            </w:r>
          </w:p>
        </w:tc>
        <w:tc>
          <w:tcPr>
            <w:tcW w:type="dxa" w:w="2749"/>
          </w:tcPr>
          <w:p>
            <w:pPr>
              <w:pStyle w:val="BodyText"/>
              <w:keepNext w:val="0"/>
              <w:spacing w:after="80" w:line="252" w:lineRule="auto"/>
              <w:jc w:val="left"/>
            </w:pPr>
            <w:r>
              <w:rPr>
                <w:rFonts w:ascii="Calibri" w:hAnsi="Calibri"/>
                <w:sz w:val="17"/>
              </w:rPr>
              <w:t xml:space="preserve">Two roles are described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descriptions differ before facts establish what realizes those roles.</w:t>
            </w:r>
          </w:p>
        </w:tc>
      </w:tr>
      <w:tr>
        <w:tc>
          <w:tcPr>
            <w:tcW w:type="dxa" w:w="1689"/>
          </w:tcPr>
          <w:p>
            <w:pPr>
              <w:pStyle w:val="BodyText"/>
              <w:keepNext w:val="0"/>
              <w:spacing w:after="80" w:line="252" w:lineRule="auto"/>
              <w:jc w:val="left"/>
            </w:pPr>
            <w:r>
              <w:rPr>
                <w:rFonts w:ascii="Calibri" w:hAnsi="Calibri"/>
                <w:sz w:val="17"/>
              </w:rPr>
              <w:t xml:space="preserve">realizers-supplied</w:t>
            </w:r>
          </w:p>
        </w:tc>
        <w:tc>
          <w:tcPr>
            <w:tcW w:type="dxa" w:w="2749"/>
          </w:tcPr>
          <w:p>
            <w:pPr>
              <w:pStyle w:val="BodyText"/>
              <w:keepNext w:val="0"/>
              <w:spacing w:after="80" w:line="252" w:lineRule="auto"/>
              <w:jc w:val="left"/>
            </w:pPr>
            <w:r>
              <w:rPr>
                <w:rFonts w:ascii="Calibri" w:hAnsi="Calibri"/>
                <w:sz w:val="17"/>
              </w:rPr>
              <w:t xml:space="preserve">What realizes each role is separately assigned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A realizer assignment is additional information, not a deduction from two names.</w:t>
            </w:r>
          </w:p>
        </w:tc>
      </w:tr>
    </w:tbl>
    <w:bookmarkEnd w:id="249"/>
    <w:bookmarkStart w:id="250" w:name="what-the-assigned-facts-support-5"/>
    <w:p>
      <w:pPr>
        <w:pStyle w:val="Heading5"/>
      </w:pPr>
      <w:r>
        <w:t xml:space="preserve">What the assigned facts support</w:t>
      </w:r>
    </w:p>
    <w:p>
      <w:pPr>
        <w:pStyle w:val="Compact"/>
        <w:numPr>
          <w:ilvl w:val="0"/>
          <w:numId w:val="1020"/>
        </w:numPr>
      </w:pPr>
      <w:r>
        <w:t xml:space="preserve">The displayed assignment uses 1 realizer for the roles.</w:t>
      </w:r>
    </w:p>
    <w:bookmarkEnd w:id="250"/>
    <w:bookmarkStart w:id="251" w:name="what-they-do-not-establish-5"/>
    <w:p>
      <w:pPr>
        <w:pStyle w:val="Heading5"/>
      </w:pPr>
      <w:r>
        <w:t xml:space="preserve">What they do not establish</w:t>
      </w:r>
    </w:p>
    <w:p>
      <w:pPr>
        <w:pStyle w:val="Compact"/>
        <w:numPr>
          <w:ilvl w:val="0"/>
          <w:numId w:val="1021"/>
        </w:numPr>
      </w:pPr>
      <w:r>
        <w:t xml:space="preserve">Neither one shared realizer nor two distinct realizers proves an account of constitutive dependence.</w:t>
      </w:r>
    </w:p>
    <w:p>
      <w:pPr>
        <w:pStyle w:val="Compact"/>
        <w:numPr>
          <w:ilvl w:val="0"/>
          <w:numId w:val="1021"/>
        </w:numPr>
      </w:pPr>
      <w:r>
        <w:t xml:space="preserve">A shared realizer does not establish full divine simplicity; distinct roles do not refute it.</w:t>
      </w:r>
    </w:p>
    <w:bookmarkEnd w:id="251"/>
    <w:bookmarkStart w:id="254" w:name="assigned-facts-5"/>
    <w:p>
      <w:pPr>
        <w:pStyle w:val="Heading5"/>
      </w:pPr>
      <w:r>
        <w:t xml:space="preserve">Assigned facts</w:t>
      </w:r>
    </w:p>
    <w:bookmarkStart w:id="252" w:name="roles-2-assigned-records-1"/>
    <w:p>
      <w:pPr>
        <w:pStyle w:val="Heading6"/>
      </w:pPr>
      <w:r>
        <w:t xml:space="preserve">roles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["agent","understanding","t0"]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["agent","willing","t0"]</w:t>
            </w:r>
          </w:p>
        </w:tc>
      </w:tr>
    </w:tbl>
    <w:bookmarkEnd w:id="252"/>
    <w:bookmarkStart w:id="253" w:name="realizers-2-assigned-records"/>
    <w:p>
      <w:pPr>
        <w:pStyle w:val="Heading6"/>
      </w:pPr>
      <w:r>
        <w:t xml:space="preserve">realizers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["agent","understanding","act-1","t0"]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["agent","willing","act-1","t0"]</w:t>
            </w:r>
          </w:p>
        </w:tc>
      </w:tr>
    </w:tbl>
    <w:p>
      <w:pPr>
        <w:pStyle w:val="BodyText"/>
      </w:pPr>
      <w:r>
        <w:t xml:space="preserve">No records supplied in these categories: intrinsic, relations, acts, control, intentions, representation, truth, access, warrant, knowledge, capacity, selection, absence, constituents, dependence. Missing records mean “not supplied in this display,” rather than universal nonexistence.</w:t>
      </w:r>
    </w:p>
    <w:bookmarkEnd w:id="253"/>
    <w:bookmarkEnd w:id="254"/>
    <w:bookmarkEnd w:id="255"/>
    <w:bookmarkStart w:id="263" w:name="two-assigned-realizers"/>
    <w:p>
      <w:pPr>
        <w:pStyle w:val="Heading4"/>
      </w:pPr>
      <w:r>
        <w:t xml:space="preserve">3.3. Two assigned realizers</w:t>
      </w:r>
    </w:p>
    <w:p>
      <w:pPr>
        <w:pStyle w:val="FirstParagraph"/>
      </w:pPr>
      <w:r>
        <w:t xml:space="preserve">Status: finite example</w:t>
      </w:r>
    </w:p>
    <w:p>
      <w:pPr>
        <w:pStyle w:val="BodyText"/>
      </w:pPr>
      <w:r>
        <w:t xml:space="preserve">Assignments say what exists; names alone do not.</w:t>
      </w:r>
    </w:p>
    <w:bookmarkStart w:id="256" w:name="what-differs-in-this-example-6"/>
    <w:p>
      <w:pPr>
        <w:pStyle w:val="Heading5"/>
      </w:pPr>
      <w:r>
        <w:t xml:space="preserve">What differs in this example</w:t>
      </w:r>
    </w:p>
    <w:p>
      <w:pPr>
        <w:pStyle w:val="Compact"/>
        <w:numPr>
          <w:ilvl w:val="0"/>
          <w:numId w:val="1022"/>
        </w:numPr>
      </w:pPr>
      <w:r>
        <w:t xml:space="preserve">2 stipulated realizers</w:t>
      </w:r>
    </w:p>
    <w:p>
      <w:pPr>
        <w:pStyle w:val="Compact"/>
        <w:numPr>
          <w:ilvl w:val="0"/>
          <w:numId w:val="1022"/>
        </w:numPr>
      </w:pPr>
      <w:r>
        <w:t xml:space="preserve">Distinct explanatory roles</w:t>
      </w:r>
    </w:p>
    <w:bookmarkEnd w:id="256"/>
    <w:bookmarkStart w:id="257" w:name="checks-against-the-assigned-records-6"/>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roles-distinct</w:t>
            </w:r>
          </w:p>
        </w:tc>
        <w:tc>
          <w:tcPr>
            <w:tcW w:type="dxa" w:w="2749"/>
          </w:tcPr>
          <w:p>
            <w:pPr>
              <w:pStyle w:val="BodyText"/>
              <w:keepNext w:val="0"/>
              <w:spacing w:after="80" w:line="252" w:lineRule="auto"/>
              <w:jc w:val="left"/>
            </w:pPr>
            <w:r>
              <w:rPr>
                <w:rFonts w:ascii="Calibri" w:hAnsi="Calibri"/>
                <w:sz w:val="17"/>
              </w:rPr>
              <w:t xml:space="preserve">Two roles are described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descriptions differ before facts establish what realizes those roles.</w:t>
            </w:r>
          </w:p>
        </w:tc>
      </w:tr>
      <w:tr>
        <w:tc>
          <w:tcPr>
            <w:tcW w:type="dxa" w:w="1689"/>
          </w:tcPr>
          <w:p>
            <w:pPr>
              <w:pStyle w:val="BodyText"/>
              <w:keepNext w:val="0"/>
              <w:spacing w:after="80" w:line="252" w:lineRule="auto"/>
              <w:jc w:val="left"/>
            </w:pPr>
            <w:r>
              <w:rPr>
                <w:rFonts w:ascii="Calibri" w:hAnsi="Calibri"/>
                <w:sz w:val="17"/>
              </w:rPr>
              <w:t xml:space="preserve">realizers-supplied</w:t>
            </w:r>
          </w:p>
        </w:tc>
        <w:tc>
          <w:tcPr>
            <w:tcW w:type="dxa" w:w="2749"/>
          </w:tcPr>
          <w:p>
            <w:pPr>
              <w:pStyle w:val="BodyText"/>
              <w:keepNext w:val="0"/>
              <w:spacing w:after="80" w:line="252" w:lineRule="auto"/>
              <w:jc w:val="left"/>
            </w:pPr>
            <w:r>
              <w:rPr>
                <w:rFonts w:ascii="Calibri" w:hAnsi="Calibri"/>
                <w:sz w:val="17"/>
              </w:rPr>
              <w:t xml:space="preserve">What realizes each role is separately assigned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A realizer assignment is additional information, not a deduction from two names.</w:t>
            </w:r>
          </w:p>
        </w:tc>
      </w:tr>
    </w:tbl>
    <w:bookmarkEnd w:id="257"/>
    <w:bookmarkStart w:id="258" w:name="what-the-assigned-facts-support-6"/>
    <w:p>
      <w:pPr>
        <w:pStyle w:val="Heading5"/>
      </w:pPr>
      <w:r>
        <w:t xml:space="preserve">What the assigned facts support</w:t>
      </w:r>
    </w:p>
    <w:p>
      <w:pPr>
        <w:pStyle w:val="Compact"/>
        <w:numPr>
          <w:ilvl w:val="0"/>
          <w:numId w:val="1023"/>
        </w:numPr>
      </w:pPr>
      <w:r>
        <w:t xml:space="preserve">The displayed assignment uses 2 realizers for the roles.</w:t>
      </w:r>
    </w:p>
    <w:bookmarkEnd w:id="258"/>
    <w:bookmarkStart w:id="259" w:name="what-they-do-not-establish-6"/>
    <w:p>
      <w:pPr>
        <w:pStyle w:val="Heading5"/>
      </w:pPr>
      <w:r>
        <w:t xml:space="preserve">What they do not establish</w:t>
      </w:r>
    </w:p>
    <w:p>
      <w:pPr>
        <w:pStyle w:val="Compact"/>
        <w:numPr>
          <w:ilvl w:val="0"/>
          <w:numId w:val="1024"/>
        </w:numPr>
      </w:pPr>
      <w:r>
        <w:t xml:space="preserve">Neither one shared realizer nor two distinct realizers proves an account of constitutive dependence.</w:t>
      </w:r>
    </w:p>
    <w:p>
      <w:pPr>
        <w:pStyle w:val="Compact"/>
        <w:numPr>
          <w:ilvl w:val="0"/>
          <w:numId w:val="1024"/>
        </w:numPr>
      </w:pPr>
      <w:r>
        <w:t xml:space="preserve">A shared realizer does not establish full divine simplicity; distinct roles do not refute it.</w:t>
      </w:r>
    </w:p>
    <w:bookmarkEnd w:id="259"/>
    <w:bookmarkStart w:id="262" w:name="assigned-facts-6"/>
    <w:p>
      <w:pPr>
        <w:pStyle w:val="Heading5"/>
      </w:pPr>
      <w:r>
        <w:t xml:space="preserve">Assigned facts</w:t>
      </w:r>
    </w:p>
    <w:bookmarkStart w:id="260" w:name="roles-2-assigned-records-2"/>
    <w:p>
      <w:pPr>
        <w:pStyle w:val="Heading6"/>
      </w:pPr>
      <w:r>
        <w:t xml:space="preserve">roles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["agent","understanding","t0"]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["agent","willing","t0"]</w:t>
            </w:r>
          </w:p>
        </w:tc>
      </w:tr>
    </w:tbl>
    <w:bookmarkEnd w:id="260"/>
    <w:bookmarkStart w:id="261" w:name="realizers-2-assigned-records-1"/>
    <w:p>
      <w:pPr>
        <w:pStyle w:val="Heading6"/>
      </w:pPr>
      <w:r>
        <w:t xml:space="preserve">realizers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["agent","understanding","act-1","t0"]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["agent","willing","act-2","t0"]</w:t>
            </w:r>
          </w:p>
        </w:tc>
      </w:tr>
    </w:tbl>
    <w:p>
      <w:pPr>
        <w:pStyle w:val="BodyText"/>
      </w:pPr>
      <w:r>
        <w:t xml:space="preserve">No records supplied in these categories: intrinsic, relations, acts, control, intentions, representation, truth, access, warrant, knowledge, capacity, selection, absence, constituents, dependence. Missing records mean “not supplied in this display,” rather than universal nonexistence.</w:t>
      </w:r>
    </w:p>
    <w:bookmarkEnd w:id="261"/>
    <w:bookmarkEnd w:id="262"/>
    <w:bookmarkEnd w:id="263"/>
    <w:bookmarkEnd w:id="264"/>
    <w:bookmarkStart w:id="293" w:name="true-representation-warranted-knowledge"/>
    <w:p>
      <w:pPr>
        <w:pStyle w:val="Heading3"/>
      </w:pPr>
      <w:r>
        <w:t xml:space="preserve">4. True representation, warranted knowledge?</w:t>
      </w:r>
    </w:p>
    <w:p>
      <w:pPr>
        <w:pStyle w:val="FirstParagraph"/>
      </w:pPr>
      <w:r>
        <w:t xml:space="preserve">What makes an accurate representation more than a lucky guess?</w:t>
      </w:r>
    </w:p>
    <w:p>
      <w:pPr>
        <w:pStyle w:val="BodyText"/>
      </w:pPr>
      <w:r>
        <w:t xml:space="preserve">A true thought about an open door can be supported by reliable access, or it can happen to be true. A claim of knowledge has to answer to that difference.</w:t>
      </w:r>
    </w:p>
    <w:bookmarkStart w:id="275" w:name="supported-access-to-the-open-door"/>
    <w:p>
      <w:pPr>
        <w:pStyle w:val="Heading4"/>
      </w:pPr>
      <w:r>
        <w:t xml:space="preserve">4.1. Supported access to the open door</w:t>
      </w:r>
    </w:p>
    <w:p>
      <w:pPr>
        <w:pStyle w:val="FirstParagraph"/>
      </w:pPr>
      <w:r>
        <w:t xml:space="preserve">Status: finite example</w:t>
      </w:r>
    </w:p>
    <w:p>
      <w:pPr>
        <w:pStyle w:val="BodyText"/>
      </w:pPr>
      <w:r>
        <w:t xml:space="preserve">Access and justification do work that accuracy alone cannot.</w:t>
      </w:r>
    </w:p>
    <w:bookmarkStart w:id="265" w:name="what-differs-in-this-example-7"/>
    <w:p>
      <w:pPr>
        <w:pStyle w:val="Heading5"/>
      </w:pPr>
      <w:r>
        <w:t xml:space="preserve">What differs in this example</w:t>
      </w:r>
    </w:p>
    <w:p>
      <w:pPr>
        <w:pStyle w:val="Compact"/>
        <w:numPr>
          <w:ilvl w:val="0"/>
          <w:numId w:val="1025"/>
        </w:numPr>
      </w:pPr>
      <w:r>
        <w:t xml:space="preserve">Represented content</w:t>
      </w:r>
    </w:p>
    <w:p>
      <w:pPr>
        <w:pStyle w:val="Compact"/>
        <w:numPr>
          <w:ilvl w:val="0"/>
          <w:numId w:val="1025"/>
        </w:numPr>
      </w:pPr>
      <w:r>
        <w:t xml:space="preserve">Supported cognitive access</w:t>
      </w:r>
    </w:p>
    <w:bookmarkEnd w:id="265"/>
    <w:bookmarkStart w:id="266" w:name="checks-against-the-assigned-records-7"/>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accurate</w:t>
            </w:r>
          </w:p>
        </w:tc>
        <w:tc>
          <w:tcPr>
            <w:tcW w:type="dxa" w:w="2749"/>
          </w:tcPr>
          <w:p>
            <w:pPr>
              <w:pStyle w:val="BodyText"/>
              <w:keepNext w:val="0"/>
              <w:spacing w:after="80" w:line="252" w:lineRule="auto"/>
              <w:jc w:val="left"/>
            </w:pPr>
            <w:r>
              <w:rPr>
                <w:rFonts w:ascii="Calibri" w:hAnsi="Calibri"/>
                <w:sz w:val="17"/>
              </w:rPr>
              <w:t xml:space="preserve">The represented content is true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Accuracy is checked separately from access.</w:t>
            </w:r>
          </w:p>
        </w:tc>
      </w:tr>
      <w:tr>
        <w:tc>
          <w:tcPr>
            <w:tcW w:type="dxa" w:w="1689"/>
          </w:tcPr>
          <w:p>
            <w:pPr>
              <w:pStyle w:val="BodyText"/>
              <w:keepNext w:val="0"/>
              <w:spacing w:after="80" w:line="252" w:lineRule="auto"/>
              <w:jc w:val="left"/>
            </w:pPr>
            <w:r>
              <w:rPr>
                <w:rFonts w:ascii="Calibri" w:hAnsi="Calibri"/>
                <w:sz w:val="17"/>
              </w:rPr>
              <w:t xml:space="preserve">warranted-access</w:t>
            </w:r>
          </w:p>
        </w:tc>
        <w:tc>
          <w:tcPr>
            <w:tcW w:type="dxa" w:w="2749"/>
          </w:tcPr>
          <w:p>
            <w:pPr>
              <w:pStyle w:val="BodyText"/>
              <w:keepNext w:val="0"/>
              <w:spacing w:after="80" w:line="252" w:lineRule="auto"/>
              <w:jc w:val="left"/>
            </w:pPr>
            <w:r>
              <w:rPr>
                <w:rFonts w:ascii="Calibri" w:hAnsi="Calibri"/>
                <w:sz w:val="17"/>
              </w:rPr>
              <w:t xml:space="preserve">A route to knowledge and its justification are present</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Justification is an independent fact in this example; truth alone does not generate it.</w:t>
            </w:r>
          </w:p>
        </w:tc>
      </w:tr>
      <w:tr>
        <w:tc>
          <w:tcPr>
            <w:tcW w:type="dxa" w:w="1689"/>
          </w:tcPr>
          <w:p>
            <w:pPr>
              <w:pStyle w:val="BodyText"/>
              <w:keepNext w:val="0"/>
              <w:spacing w:after="80" w:line="252" w:lineRule="auto"/>
              <w:jc w:val="left"/>
            </w:pPr>
            <w:r>
              <w:rPr>
                <w:rFonts w:ascii="Calibri" w:hAnsi="Calibri"/>
                <w:sz w:val="17"/>
              </w:rPr>
              <w:t xml:space="preserve">knowledge-attribution</w:t>
            </w:r>
          </w:p>
        </w:tc>
        <w:tc>
          <w:tcPr>
            <w:tcW w:type="dxa" w:w="2749"/>
          </w:tcPr>
          <w:p>
            <w:pPr>
              <w:pStyle w:val="BodyText"/>
              <w:keepNext w:val="0"/>
              <w:spacing w:after="80" w:line="252" w:lineRule="auto"/>
              <w:jc w:val="left"/>
            </w:pPr>
            <w:r>
              <w:rPr>
                <w:rFonts w:ascii="Calibri" w:hAnsi="Calibri"/>
                <w:sz w:val="17"/>
              </w:rPr>
              <w:t xml:space="preserve">The knowledge attribution is supported by the records</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Writing “knowledge” is insufficient when its epistemic support is absent.</w:t>
            </w:r>
          </w:p>
        </w:tc>
      </w:tr>
    </w:tbl>
    <w:bookmarkEnd w:id="266"/>
    <w:bookmarkStart w:id="267" w:name="what-the-assigned-facts-support-7"/>
    <w:p>
      <w:pPr>
        <w:pStyle w:val="Heading5"/>
      </w:pPr>
      <w:r>
        <w:t xml:space="preserve">What the assigned facts support</w:t>
      </w:r>
    </w:p>
    <w:p>
      <w:pPr>
        <w:pStyle w:val="Compact"/>
        <w:numPr>
          <w:ilvl w:val="0"/>
          <w:numId w:val="1026"/>
        </w:numPr>
      </w:pPr>
      <w:r>
        <w:t xml:space="preserve">The recorded knowledge attribution has a true content and separately supplied epistemic support.</w:t>
      </w:r>
    </w:p>
    <w:bookmarkEnd w:id="267"/>
    <w:bookmarkStart w:id="268" w:name="what-they-do-not-establish-7"/>
    <w:p>
      <w:pPr>
        <w:pStyle w:val="Heading5"/>
      </w:pPr>
      <w:r>
        <w:t xml:space="preserve">What they do not establish</w:t>
      </w:r>
    </w:p>
    <w:p>
      <w:pPr>
        <w:pStyle w:val="Compact"/>
        <w:numPr>
          <w:ilvl w:val="0"/>
          <w:numId w:val="1027"/>
        </w:numPr>
      </w:pPr>
      <w:r>
        <w:t xml:space="preserve">This illustrates an epistemic distinction; it does not prove divine non-receptive knowledge.</w:t>
      </w:r>
    </w:p>
    <w:p>
      <w:pPr>
        <w:pStyle w:val="Compact"/>
        <w:numPr>
          <w:ilvl w:val="0"/>
          <w:numId w:val="1027"/>
        </w:numPr>
      </w:pPr>
      <w:r>
        <w:t xml:space="preserve">No intrinsic multiplication of a knower follows merely from counting known contents.</w:t>
      </w:r>
    </w:p>
    <w:bookmarkEnd w:id="268"/>
    <w:bookmarkStart w:id="274" w:name="assigned-facts-7"/>
    <w:p>
      <w:pPr>
        <w:pStyle w:val="Heading5"/>
      </w:pPr>
      <w:r>
        <w:t xml:space="preserve">Assigned facts</w:t>
      </w:r>
    </w:p>
    <w:bookmarkStart w:id="269" w:name="representation-1-assigned-record"/>
    <w:p>
      <w:pPr>
        <w:pStyle w:val="Heading6"/>
      </w:pPr>
      <w:r>
        <w:t xml:space="preserve">representation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["observer","door-open","t0"]</w:t>
            </w:r>
          </w:p>
        </w:tc>
      </w:tr>
    </w:tbl>
    <w:bookmarkEnd w:id="269"/>
    <w:bookmarkStart w:id="270" w:name="truth-1-assigned-record"/>
    <w:p>
      <w:pPr>
        <w:pStyle w:val="Heading6"/>
      </w:pPr>
      <w:r>
        <w:t xml:space="preserve">truth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["door-open","t0"]</w:t>
            </w:r>
          </w:p>
        </w:tc>
      </w:tr>
    </w:tbl>
    <w:bookmarkEnd w:id="270"/>
    <w:bookmarkStart w:id="271" w:name="access-1-assigned-record"/>
    <w:p>
      <w:pPr>
        <w:pStyle w:val="Heading6"/>
      </w:pPr>
      <w:r>
        <w:t xml:space="preserve">access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["observer","door-open","unobstructed-observation","t0"]</w:t>
            </w:r>
          </w:p>
        </w:tc>
      </w:tr>
    </w:tbl>
    <w:bookmarkEnd w:id="271"/>
    <w:bookmarkStart w:id="272" w:name="warrant-1-assigned-record"/>
    <w:p>
      <w:pPr>
        <w:pStyle w:val="Heading6"/>
      </w:pPr>
      <w:r>
        <w:t xml:space="preserve">warrant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["observer","door-open","unobstructed-observation","t0"]</w:t>
            </w:r>
          </w:p>
        </w:tc>
      </w:tr>
    </w:tbl>
    <w:bookmarkEnd w:id="272"/>
    <w:bookmarkStart w:id="273" w:name="knowledge-1-assigned-record"/>
    <w:p>
      <w:pPr>
        <w:pStyle w:val="Heading6"/>
      </w:pPr>
      <w:r>
        <w:t xml:space="preserve">knowledge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["observer","door-open","t0"]</w:t>
            </w:r>
          </w:p>
        </w:tc>
      </w:tr>
    </w:tbl>
    <w:p>
      <w:pPr>
        <w:pStyle w:val="BodyText"/>
      </w:pPr>
      <w:r>
        <w:t xml:space="preserve">No records supplied in these categories: intrinsic, relations, acts, control, intentions, roles, realizers, capacity, selection, absence, constituents, dependence. Missing records mean “not supplied in this display,” rather than universal nonexistence.</w:t>
      </w:r>
    </w:p>
    <w:bookmarkEnd w:id="273"/>
    <w:bookmarkEnd w:id="274"/>
    <w:bookmarkEnd w:id="275"/>
    <w:bookmarkStart w:id="283" w:name="the-guess-happens-to-be-true"/>
    <w:p>
      <w:pPr>
        <w:pStyle w:val="Heading4"/>
      </w:pPr>
      <w:r>
        <w:t xml:space="preserve">4.2. The guess happens to be true</w:t>
      </w:r>
    </w:p>
    <w:p>
      <w:pPr>
        <w:pStyle w:val="FirstParagraph"/>
      </w:pPr>
      <w:r>
        <w:t xml:space="preserve">Status: finite example</w:t>
      </w:r>
    </w:p>
    <w:p>
      <w:pPr>
        <w:pStyle w:val="BodyText"/>
      </w:pPr>
      <w:r>
        <w:t xml:space="preserve">A lucky truth is not enough.</w:t>
      </w:r>
    </w:p>
    <w:bookmarkStart w:id="276" w:name="what-differs-in-this-example-8"/>
    <w:p>
      <w:pPr>
        <w:pStyle w:val="Heading5"/>
      </w:pPr>
      <w:r>
        <w:t xml:space="preserve">What differs in this example</w:t>
      </w:r>
    </w:p>
    <w:p>
      <w:pPr>
        <w:pStyle w:val="Compact"/>
        <w:numPr>
          <w:ilvl w:val="0"/>
          <w:numId w:val="1028"/>
        </w:numPr>
      </w:pPr>
      <w:r>
        <w:t xml:space="preserve">Represented content</w:t>
      </w:r>
    </w:p>
    <w:p>
      <w:pPr>
        <w:pStyle w:val="Compact"/>
        <w:numPr>
          <w:ilvl w:val="0"/>
          <w:numId w:val="1028"/>
        </w:numPr>
      </w:pPr>
      <w:r>
        <w:t xml:space="preserve">A true representation without demonstrated justification</w:t>
      </w:r>
    </w:p>
    <w:bookmarkEnd w:id="276"/>
    <w:bookmarkStart w:id="277" w:name="checks-against-the-assigned-records-8"/>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accurate</w:t>
            </w:r>
          </w:p>
        </w:tc>
        <w:tc>
          <w:tcPr>
            <w:tcW w:type="dxa" w:w="2749"/>
          </w:tcPr>
          <w:p>
            <w:pPr>
              <w:pStyle w:val="BodyText"/>
              <w:keepNext w:val="0"/>
              <w:spacing w:after="80" w:line="252" w:lineRule="auto"/>
              <w:jc w:val="left"/>
            </w:pPr>
            <w:r>
              <w:rPr>
                <w:rFonts w:ascii="Calibri" w:hAnsi="Calibri"/>
                <w:sz w:val="17"/>
              </w:rPr>
              <w:t xml:space="preserve">The represented content is true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Accuracy is checked separately from access.</w:t>
            </w:r>
          </w:p>
        </w:tc>
      </w:tr>
      <w:tr>
        <w:tc>
          <w:tcPr>
            <w:tcW w:type="dxa" w:w="1689"/>
          </w:tcPr>
          <w:p>
            <w:pPr>
              <w:pStyle w:val="BodyText"/>
              <w:keepNext w:val="0"/>
              <w:spacing w:after="80" w:line="252" w:lineRule="auto"/>
              <w:jc w:val="left"/>
            </w:pPr>
            <w:r>
              <w:rPr>
                <w:rFonts w:ascii="Calibri" w:hAnsi="Calibri"/>
                <w:sz w:val="17"/>
              </w:rPr>
              <w:t xml:space="preserve">warranted-access</w:t>
            </w:r>
          </w:p>
        </w:tc>
        <w:tc>
          <w:tcPr>
            <w:tcW w:type="dxa" w:w="2749"/>
          </w:tcPr>
          <w:p>
            <w:pPr>
              <w:pStyle w:val="BodyText"/>
              <w:keepNext w:val="0"/>
              <w:spacing w:after="80" w:line="252" w:lineRule="auto"/>
              <w:jc w:val="left"/>
            </w:pPr>
            <w:r>
              <w:rPr>
                <w:rFonts w:ascii="Calibri" w:hAnsi="Calibri"/>
                <w:sz w:val="17"/>
              </w:rPr>
              <w:t xml:space="preserve">A route to knowledge and its justification are present</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Justification is an independent fact in this example; truth alone does not generate it.</w:t>
            </w:r>
          </w:p>
        </w:tc>
      </w:tr>
      <w:tr>
        <w:tc>
          <w:tcPr>
            <w:tcW w:type="dxa" w:w="1689"/>
          </w:tcPr>
          <w:p>
            <w:pPr>
              <w:pStyle w:val="BodyText"/>
              <w:keepNext w:val="0"/>
              <w:spacing w:after="80" w:line="252" w:lineRule="auto"/>
              <w:jc w:val="left"/>
            </w:pPr>
            <w:r>
              <w:rPr>
                <w:rFonts w:ascii="Calibri" w:hAnsi="Calibri"/>
                <w:sz w:val="17"/>
              </w:rPr>
              <w:t xml:space="preserve">knowledge-attribution</w:t>
            </w:r>
          </w:p>
        </w:tc>
        <w:tc>
          <w:tcPr>
            <w:tcW w:type="dxa" w:w="2749"/>
          </w:tcPr>
          <w:p>
            <w:pPr>
              <w:pStyle w:val="BodyText"/>
              <w:keepNext w:val="0"/>
              <w:spacing w:after="80" w:line="252" w:lineRule="auto"/>
              <w:jc w:val="left"/>
            </w:pPr>
            <w:r>
              <w:rPr>
                <w:rFonts w:ascii="Calibri" w:hAnsi="Calibri"/>
                <w:sz w:val="17"/>
              </w:rPr>
              <w:t xml:space="preserve">The knowledge attribution is supported by the records</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Writing “knowledge” is insufficient when its epistemic support is absent.</w:t>
            </w:r>
          </w:p>
        </w:tc>
      </w:tr>
    </w:tbl>
    <w:bookmarkEnd w:id="277"/>
    <w:bookmarkStart w:id="278" w:name="what-the-assigned-facts-support-8"/>
    <w:p>
      <w:pPr>
        <w:pStyle w:val="Heading5"/>
      </w:pPr>
      <w:r>
        <w:t xml:space="preserve">What the assigned facts support</w:t>
      </w:r>
    </w:p>
    <w:p>
      <w:pPr>
        <w:pStyle w:val="Compact"/>
        <w:numPr>
          <w:ilvl w:val="0"/>
          <w:numId w:val="1029"/>
        </w:numPr>
      </w:pPr>
      <w:r>
        <w:t xml:space="preserve">Truth and a representation label do not establish knowledge.</w:t>
      </w:r>
    </w:p>
    <w:bookmarkEnd w:id="278"/>
    <w:bookmarkStart w:id="279" w:name="what-they-do-not-establish-8"/>
    <w:p>
      <w:pPr>
        <w:pStyle w:val="Heading5"/>
      </w:pPr>
      <w:r>
        <w:t xml:space="preserve">What they do not establish</w:t>
      </w:r>
    </w:p>
    <w:p>
      <w:pPr>
        <w:pStyle w:val="Compact"/>
        <w:numPr>
          <w:ilvl w:val="0"/>
          <w:numId w:val="1030"/>
        </w:numPr>
      </w:pPr>
      <w:r>
        <w:t xml:space="preserve">This illustrates an epistemic distinction; it does not prove divine non-receptive knowledge.</w:t>
      </w:r>
    </w:p>
    <w:p>
      <w:pPr>
        <w:pStyle w:val="Compact"/>
        <w:numPr>
          <w:ilvl w:val="0"/>
          <w:numId w:val="1030"/>
        </w:numPr>
      </w:pPr>
      <w:r>
        <w:t xml:space="preserve">No intrinsic multiplication of a knower follows merely from counting known contents.</w:t>
      </w:r>
    </w:p>
    <w:bookmarkEnd w:id="279"/>
    <w:bookmarkStart w:id="282" w:name="assigned-facts-8"/>
    <w:p>
      <w:pPr>
        <w:pStyle w:val="Heading5"/>
      </w:pPr>
      <w:r>
        <w:t xml:space="preserve">Assigned facts</w:t>
      </w:r>
    </w:p>
    <w:bookmarkStart w:id="280" w:name="representation-1-assigned-record-1"/>
    <w:p>
      <w:pPr>
        <w:pStyle w:val="Heading6"/>
      </w:pPr>
      <w:r>
        <w:t xml:space="preserve">representation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["observer","door-open","t0"]</w:t>
            </w:r>
          </w:p>
        </w:tc>
      </w:tr>
    </w:tbl>
    <w:bookmarkEnd w:id="280"/>
    <w:bookmarkStart w:id="281" w:name="truth-1-assigned-record-1"/>
    <w:p>
      <w:pPr>
        <w:pStyle w:val="Heading6"/>
      </w:pPr>
      <w:r>
        <w:t xml:space="preserve">truth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["door-open","t0"]</w:t>
            </w:r>
          </w:p>
        </w:tc>
      </w:tr>
    </w:tbl>
    <w:p>
      <w:pPr>
        <w:pStyle w:val="BodyText"/>
      </w:pPr>
      <w:r>
        <w:t xml:space="preserve">No records supplied in these categories: intrinsic, relations, acts, control, intentions, roles, realizers, access, warrant, knowledge, capacity, selection, absence, constituents, dependence. Missing records mean “not supplied in this display,” rather than universal nonexistence.</w:t>
      </w:r>
    </w:p>
    <w:bookmarkEnd w:id="281"/>
    <w:bookmarkEnd w:id="282"/>
    <w:bookmarkEnd w:id="283"/>
    <w:bookmarkStart w:id="292" w:name="the-guess-is-labelled-knowledge"/>
    <w:p>
      <w:pPr>
        <w:pStyle w:val="Heading4"/>
      </w:pPr>
      <w:r>
        <w:t xml:space="preserve">4.3. The guess is labelled “knowledge”</w:t>
      </w:r>
    </w:p>
    <w:p>
      <w:pPr>
        <w:pStyle w:val="FirstParagraph"/>
      </w:pPr>
      <w:r>
        <w:t xml:space="preserve">Status: finite example</w:t>
      </w:r>
    </w:p>
    <w:p>
      <w:pPr>
        <w:pStyle w:val="BodyText"/>
      </w:pPr>
      <w:r>
        <w:t xml:space="preserve">A lucky truth is not enough.</w:t>
      </w:r>
    </w:p>
    <w:bookmarkStart w:id="284" w:name="what-differs-in-this-example-9"/>
    <w:p>
      <w:pPr>
        <w:pStyle w:val="Heading5"/>
      </w:pPr>
      <w:r>
        <w:t xml:space="preserve">What differs in this example</w:t>
      </w:r>
    </w:p>
    <w:p>
      <w:pPr>
        <w:pStyle w:val="Compact"/>
        <w:numPr>
          <w:ilvl w:val="0"/>
          <w:numId w:val="1031"/>
        </w:numPr>
      </w:pPr>
      <w:r>
        <w:t xml:space="preserve">Represented content</w:t>
      </w:r>
    </w:p>
    <w:p>
      <w:pPr>
        <w:pStyle w:val="Compact"/>
        <w:numPr>
          <w:ilvl w:val="0"/>
          <w:numId w:val="1031"/>
        </w:numPr>
      </w:pPr>
      <w:r>
        <w:t xml:space="preserve">A true representation without demonstrated justification</w:t>
      </w:r>
    </w:p>
    <w:bookmarkEnd w:id="284"/>
    <w:bookmarkStart w:id="285" w:name="checks-against-the-assigned-records-9"/>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accurate</w:t>
            </w:r>
          </w:p>
        </w:tc>
        <w:tc>
          <w:tcPr>
            <w:tcW w:type="dxa" w:w="2749"/>
          </w:tcPr>
          <w:p>
            <w:pPr>
              <w:pStyle w:val="BodyText"/>
              <w:keepNext w:val="0"/>
              <w:spacing w:after="80" w:line="252" w:lineRule="auto"/>
              <w:jc w:val="left"/>
            </w:pPr>
            <w:r>
              <w:rPr>
                <w:rFonts w:ascii="Calibri" w:hAnsi="Calibri"/>
                <w:sz w:val="17"/>
              </w:rPr>
              <w:t xml:space="preserve">The represented content is true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Accuracy is checked separately from access.</w:t>
            </w:r>
          </w:p>
        </w:tc>
      </w:tr>
      <w:tr>
        <w:tc>
          <w:tcPr>
            <w:tcW w:type="dxa" w:w="1689"/>
          </w:tcPr>
          <w:p>
            <w:pPr>
              <w:pStyle w:val="BodyText"/>
              <w:keepNext w:val="0"/>
              <w:spacing w:after="80" w:line="252" w:lineRule="auto"/>
              <w:jc w:val="left"/>
            </w:pPr>
            <w:r>
              <w:rPr>
                <w:rFonts w:ascii="Calibri" w:hAnsi="Calibri"/>
                <w:sz w:val="17"/>
              </w:rPr>
              <w:t xml:space="preserve">warranted-access</w:t>
            </w:r>
          </w:p>
        </w:tc>
        <w:tc>
          <w:tcPr>
            <w:tcW w:type="dxa" w:w="2749"/>
          </w:tcPr>
          <w:p>
            <w:pPr>
              <w:pStyle w:val="BodyText"/>
              <w:keepNext w:val="0"/>
              <w:spacing w:after="80" w:line="252" w:lineRule="auto"/>
              <w:jc w:val="left"/>
            </w:pPr>
            <w:r>
              <w:rPr>
                <w:rFonts w:ascii="Calibri" w:hAnsi="Calibri"/>
                <w:sz w:val="17"/>
              </w:rPr>
              <w:t xml:space="preserve">A route to knowledge and its justification are present</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Justification is an independent fact in this example; truth alone does not generate it.</w:t>
            </w:r>
          </w:p>
        </w:tc>
      </w:tr>
      <w:tr>
        <w:tc>
          <w:tcPr>
            <w:tcW w:type="dxa" w:w="1689"/>
          </w:tcPr>
          <w:p>
            <w:pPr>
              <w:pStyle w:val="BodyText"/>
              <w:keepNext w:val="0"/>
              <w:spacing w:after="80" w:line="252" w:lineRule="auto"/>
              <w:jc w:val="left"/>
            </w:pPr>
            <w:r>
              <w:rPr>
                <w:rFonts w:ascii="Calibri" w:hAnsi="Calibri"/>
                <w:sz w:val="17"/>
              </w:rPr>
              <w:t xml:space="preserve">knowledge-attribution</w:t>
            </w:r>
          </w:p>
        </w:tc>
        <w:tc>
          <w:tcPr>
            <w:tcW w:type="dxa" w:w="2749"/>
          </w:tcPr>
          <w:p>
            <w:pPr>
              <w:pStyle w:val="BodyText"/>
              <w:keepNext w:val="0"/>
              <w:spacing w:after="80" w:line="252" w:lineRule="auto"/>
              <w:jc w:val="left"/>
            </w:pPr>
            <w:r>
              <w:rPr>
                <w:rFonts w:ascii="Calibri" w:hAnsi="Calibri"/>
                <w:sz w:val="17"/>
              </w:rPr>
              <w:t xml:space="preserve">The knowledge attribution is supported by the records</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Writing “knowledge” is insufficient when its epistemic support is absent.</w:t>
            </w:r>
          </w:p>
        </w:tc>
      </w:tr>
    </w:tbl>
    <w:bookmarkEnd w:id="285"/>
    <w:bookmarkStart w:id="286" w:name="what-the-assigned-facts-support-9"/>
    <w:p>
      <w:pPr>
        <w:pStyle w:val="Heading5"/>
      </w:pPr>
      <w:r>
        <w:t xml:space="preserve">What the assigned facts support</w:t>
      </w:r>
    </w:p>
    <w:p>
      <w:pPr>
        <w:pStyle w:val="Compact"/>
        <w:numPr>
          <w:ilvl w:val="0"/>
          <w:numId w:val="1032"/>
        </w:numPr>
      </w:pPr>
      <w:r>
        <w:t xml:space="preserve">Truth and a representation label do not establish knowledge.</w:t>
      </w:r>
    </w:p>
    <w:bookmarkEnd w:id="286"/>
    <w:bookmarkStart w:id="287" w:name="what-they-do-not-establish-9"/>
    <w:p>
      <w:pPr>
        <w:pStyle w:val="Heading5"/>
      </w:pPr>
      <w:r>
        <w:t xml:space="preserve">What they do not establish</w:t>
      </w:r>
    </w:p>
    <w:p>
      <w:pPr>
        <w:pStyle w:val="Compact"/>
        <w:numPr>
          <w:ilvl w:val="0"/>
          <w:numId w:val="1033"/>
        </w:numPr>
      </w:pPr>
      <w:r>
        <w:t xml:space="preserve">This illustrates an epistemic distinction; it does not prove divine non-receptive knowledge.</w:t>
      </w:r>
    </w:p>
    <w:p>
      <w:pPr>
        <w:pStyle w:val="Compact"/>
        <w:numPr>
          <w:ilvl w:val="0"/>
          <w:numId w:val="1033"/>
        </w:numPr>
      </w:pPr>
      <w:r>
        <w:t xml:space="preserve">No intrinsic multiplication of a knower follows merely from counting known contents.</w:t>
      </w:r>
    </w:p>
    <w:bookmarkEnd w:id="287"/>
    <w:bookmarkStart w:id="291" w:name="assigned-facts-9"/>
    <w:p>
      <w:pPr>
        <w:pStyle w:val="Heading5"/>
      </w:pPr>
      <w:r>
        <w:t xml:space="preserve">Assigned facts</w:t>
      </w:r>
    </w:p>
    <w:bookmarkStart w:id="288" w:name="representation-1-assigned-record-2"/>
    <w:p>
      <w:pPr>
        <w:pStyle w:val="Heading6"/>
      </w:pPr>
      <w:r>
        <w:t xml:space="preserve">representation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["observer","door-open","t0"]</w:t>
            </w:r>
          </w:p>
        </w:tc>
      </w:tr>
    </w:tbl>
    <w:bookmarkEnd w:id="288"/>
    <w:bookmarkStart w:id="289" w:name="truth-1-assigned-record-2"/>
    <w:p>
      <w:pPr>
        <w:pStyle w:val="Heading6"/>
      </w:pPr>
      <w:r>
        <w:t xml:space="preserve">truth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["door-open","t0"]</w:t>
            </w:r>
          </w:p>
        </w:tc>
      </w:tr>
    </w:tbl>
    <w:bookmarkEnd w:id="289"/>
    <w:bookmarkStart w:id="290" w:name="knowledge-1-assigned-record-1"/>
    <w:p>
      <w:pPr>
        <w:pStyle w:val="Heading6"/>
      </w:pPr>
      <w:r>
        <w:t xml:space="preserve">knowledge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["observer","door-open","t0"]</w:t>
            </w:r>
          </w:p>
        </w:tc>
      </w:tr>
    </w:tbl>
    <w:p>
      <w:pPr>
        <w:pStyle w:val="BodyText"/>
      </w:pPr>
      <w:r>
        <w:t xml:space="preserve">No records supplied in these categories: intrinsic, relations, acts, control, intentions, roles, realizers, access, warrant, capacity, selection, absence, constituents, dependence. Missing records mean “not supplied in this display,” rather than universal nonexistence.</w:t>
      </w:r>
    </w:p>
    <w:bookmarkEnd w:id="290"/>
    <w:bookmarkEnd w:id="291"/>
    <w:bookmarkEnd w:id="292"/>
    <w:bookmarkEnd w:id="293"/>
    <w:bookmarkStart w:id="321" w:name="nothing-happensbut-why"/>
    <w:p>
      <w:pPr>
        <w:pStyle w:val="Heading3"/>
      </w:pPr>
      <w:r>
        <w:t xml:space="preserve">5. Nothing happens—but why?</w:t>
      </w:r>
    </w:p>
    <w:p>
      <w:pPr>
        <w:pStyle w:val="FirstParagraph"/>
      </w:pPr>
      <w:r>
        <w:t xml:space="preserve">Does the absence of an effect show a free decision not to act?</w:t>
      </w:r>
    </w:p>
    <w:p>
      <w:pPr>
        <w:pStyle w:val="BodyText"/>
      </w:pPr>
      <w:r>
        <w:t xml:space="preserve">Not making a phone call could express consideration, incapacity, or no decision at all. The absent effect does not by itself establish a deliberate decision.</w:t>
      </w:r>
    </w:p>
    <w:bookmarkStart w:id="305" w:name="deliberate-capable-restraint"/>
    <w:p>
      <w:pPr>
        <w:pStyle w:val="Heading4"/>
      </w:pPr>
      <w:r>
        <w:t xml:space="preserve">5.1. Deliberate, capable restraint</w:t>
      </w:r>
    </w:p>
    <w:p>
      <w:pPr>
        <w:pStyle w:val="FirstParagraph"/>
      </w:pPr>
      <w:r>
        <w:t xml:space="preserve">Status: finite example</w:t>
      </w:r>
    </w:p>
    <w:p>
      <w:pPr>
        <w:pStyle w:val="BodyText"/>
      </w:pPr>
      <w:r>
        <w:t xml:space="preserve">Deliberately refraining needs positive explanatory facts.</w:t>
      </w:r>
    </w:p>
    <w:bookmarkStart w:id="294" w:name="what-differs-in-this-example-10"/>
    <w:p>
      <w:pPr>
        <w:pStyle w:val="Heading5"/>
      </w:pPr>
      <w:r>
        <w:t xml:space="preserve">What differs in this example</w:t>
      </w:r>
    </w:p>
    <w:p>
      <w:pPr>
        <w:pStyle w:val="Compact"/>
        <w:numPr>
          <w:ilvl w:val="0"/>
          <w:numId w:val="1034"/>
        </w:numPr>
      </w:pPr>
      <w:r>
        <w:t xml:space="preserve">A deliberate exercise of restraint</w:t>
      </w:r>
    </w:p>
    <w:p>
      <w:pPr>
        <w:pStyle w:val="Compact"/>
        <w:numPr>
          <w:ilvl w:val="0"/>
          <w:numId w:val="1034"/>
        </w:numPr>
      </w:pPr>
      <w:r>
        <w:t xml:space="preserve">An absent outward effect</w:t>
      </w:r>
    </w:p>
    <w:bookmarkEnd w:id="294"/>
    <w:bookmarkStart w:id="295" w:name="checks-against-the-assigned-records-10"/>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no-call</w:t>
            </w:r>
          </w:p>
        </w:tc>
        <w:tc>
          <w:tcPr>
            <w:tcW w:type="dxa" w:w="2749"/>
          </w:tcPr>
          <w:p>
            <w:pPr>
              <w:pStyle w:val="BodyText"/>
              <w:keepNext w:val="0"/>
              <w:spacing w:after="80" w:line="252" w:lineRule="auto"/>
              <w:jc w:val="left"/>
            </w:pPr>
            <w:r>
              <w:rPr>
                <w:rFonts w:ascii="Calibri" w:hAnsi="Calibri"/>
                <w:sz w:val="17"/>
              </w:rPr>
              <w:t xml:space="preserve">The call is absent</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absence is stated in the example; it is not inferred from a missing label.</w:t>
            </w:r>
          </w:p>
        </w:tc>
      </w:tr>
      <w:tr>
        <w:tc>
          <w:tcPr>
            <w:tcW w:type="dxa" w:w="1689"/>
          </w:tcPr>
          <w:p>
            <w:pPr>
              <w:pStyle w:val="BodyText"/>
              <w:keepNext w:val="0"/>
              <w:spacing w:after="80" w:line="252" w:lineRule="auto"/>
              <w:jc w:val="left"/>
            </w:pPr>
            <w:r>
              <w:rPr>
                <w:rFonts w:ascii="Calibri" w:hAnsi="Calibri"/>
                <w:sz w:val="17"/>
              </w:rPr>
              <w:t xml:space="preserve">capacity</w:t>
            </w:r>
          </w:p>
        </w:tc>
        <w:tc>
          <w:tcPr>
            <w:tcW w:type="dxa" w:w="2749"/>
          </w:tcPr>
          <w:p>
            <w:pPr>
              <w:pStyle w:val="BodyText"/>
              <w:keepNext w:val="0"/>
              <w:spacing w:after="80" w:line="252" w:lineRule="auto"/>
              <w:jc w:val="left"/>
            </w:pPr>
            <w:r>
              <w:rPr>
                <w:rFonts w:ascii="Calibri" w:hAnsi="Calibri"/>
                <w:sz w:val="17"/>
              </w:rPr>
              <w:t xml:space="preserve">The alternative act is within recorded capacity</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Capacity is distinct from an absent effect.</w:t>
            </w:r>
          </w:p>
        </w:tc>
      </w:tr>
      <w:tr>
        <w:tc>
          <w:tcPr>
            <w:tcW w:type="dxa" w:w="1689"/>
          </w:tcPr>
          <w:p>
            <w:pPr>
              <w:pStyle w:val="BodyText"/>
              <w:keepNext w:val="0"/>
              <w:spacing w:after="80" w:line="252" w:lineRule="auto"/>
              <w:jc w:val="left"/>
            </w:pPr>
            <w:r>
              <w:rPr>
                <w:rFonts w:ascii="Calibri" w:hAnsi="Calibri"/>
                <w:sz w:val="17"/>
              </w:rPr>
              <w:t xml:space="preserve">deliberate-restraint</w:t>
            </w:r>
          </w:p>
        </w:tc>
        <w:tc>
          <w:tcPr>
            <w:tcW w:type="dxa" w:w="2749"/>
          </w:tcPr>
          <w:p>
            <w:pPr>
              <w:pStyle w:val="BodyText"/>
              <w:keepNext w:val="0"/>
              <w:spacing w:after="80" w:line="252" w:lineRule="auto"/>
              <w:jc w:val="left"/>
            </w:pPr>
            <w:r>
              <w:rPr>
                <w:rFonts w:ascii="Calibri" w:hAnsi="Calibri"/>
                <w:sz w:val="17"/>
              </w:rPr>
              <w:t xml:space="preserve">Controlled, intentional restraint is recorded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positive facts of a choice must be supplied in addition to nonoccurrence.</w:t>
            </w:r>
          </w:p>
        </w:tc>
      </w:tr>
    </w:tbl>
    <w:bookmarkEnd w:id="295"/>
    <w:bookmarkStart w:id="296" w:name="what-the-assigned-facts-support-10"/>
    <w:p>
      <w:pPr>
        <w:pStyle w:val="Heading5"/>
      </w:pPr>
      <w:r>
        <w:t xml:space="preserve">What the assigned facts support</w:t>
      </w:r>
    </w:p>
    <w:p>
      <w:pPr>
        <w:pStyle w:val="Compact"/>
        <w:numPr>
          <w:ilvl w:val="0"/>
          <w:numId w:val="1035"/>
        </w:numPr>
      </w:pPr>
      <w:r>
        <w:t xml:space="preserve">The assigned facts establish a deliberate decision to refrain.</w:t>
      </w:r>
    </w:p>
    <w:bookmarkEnd w:id="296"/>
    <w:bookmarkStart w:id="297" w:name="what-they-do-not-establish-10"/>
    <w:p>
      <w:pPr>
        <w:pStyle w:val="Heading5"/>
      </w:pPr>
      <w:r>
        <w:t xml:space="preserve">What they do not establish</w:t>
      </w:r>
    </w:p>
    <w:p>
      <w:pPr>
        <w:pStyle w:val="Compact"/>
        <w:numPr>
          <w:ilvl w:val="0"/>
          <w:numId w:val="1036"/>
        </w:numPr>
      </w:pPr>
      <w:r>
        <w:t xml:space="preserve">No-creation freedom cannot be inferred from an empty effect-set alone.</w:t>
      </w:r>
    </w:p>
    <w:p>
      <w:pPr>
        <w:pStyle w:val="Compact"/>
        <w:numPr>
          <w:ilvl w:val="0"/>
          <w:numId w:val="1036"/>
        </w:numPr>
      </w:pPr>
      <w:r>
        <w:t xml:space="preserve">The finite example does not establish divine modal alternatives or a theory of negative facts.</w:t>
      </w:r>
    </w:p>
    <w:bookmarkEnd w:id="297"/>
    <w:bookmarkStart w:id="304" w:name="assigned-facts-10"/>
    <w:p>
      <w:pPr>
        <w:pStyle w:val="Heading5"/>
      </w:pPr>
      <w:r>
        <w:t xml:space="preserve">Assigned facts</w:t>
      </w:r>
    </w:p>
    <w:bookmarkStart w:id="298" w:name="acts-1-assigned-record-1"/>
    <w:p>
      <w:pPr>
        <w:pStyle w:val="Heading6"/>
      </w:pPr>
      <w:r>
        <w:t xml:space="preserve">acts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["friend","restraint","no-call","t0"]</w:t>
            </w:r>
          </w:p>
        </w:tc>
      </w:tr>
    </w:tbl>
    <w:bookmarkEnd w:id="298"/>
    <w:bookmarkStart w:id="299" w:name="control-1-assigned-record"/>
    <w:p>
      <w:pPr>
        <w:pStyle w:val="Heading6"/>
      </w:pPr>
      <w:r>
        <w:t xml:space="preserve">control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["friend","restraint","t0"]</w:t>
            </w:r>
          </w:p>
        </w:tc>
      </w:tr>
    </w:tbl>
    <w:bookmarkEnd w:id="299"/>
    <w:bookmarkStart w:id="300" w:name="intentions-1-assigned-record"/>
    <w:p>
      <w:pPr>
        <w:pStyle w:val="Heading6"/>
      </w:pPr>
      <w:r>
        <w:t xml:space="preserve">intentions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["friend","restraint","respect-rest","t0"]</w:t>
            </w:r>
          </w:p>
        </w:tc>
      </w:tr>
    </w:tbl>
    <w:bookmarkEnd w:id="300"/>
    <w:bookmarkStart w:id="301" w:name="capacity-1-assigned-record"/>
    <w:p>
      <w:pPr>
        <w:pStyle w:val="Heading6"/>
      </w:pPr>
      <w:r>
        <w:t xml:space="preserve">capacity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["friend","phone-call","t0"]</w:t>
            </w:r>
          </w:p>
        </w:tc>
      </w:tr>
    </w:tbl>
    <w:bookmarkEnd w:id="301"/>
    <w:bookmarkStart w:id="302" w:name="selection-1-assigned-record"/>
    <w:p>
      <w:pPr>
        <w:pStyle w:val="Heading6"/>
      </w:pPr>
      <w:r>
        <w:t xml:space="preserve">selection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["friend","forbearance","t0"]</w:t>
            </w:r>
          </w:p>
        </w:tc>
      </w:tr>
    </w:tbl>
    <w:bookmarkEnd w:id="302"/>
    <w:bookmarkStart w:id="303" w:name="absence-1-assigned-record"/>
    <w:p>
      <w:pPr>
        <w:pStyle w:val="Heading6"/>
      </w:pPr>
      <w:r>
        <w:t xml:space="preserve">absence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["phone-call","t0"]</w:t>
            </w:r>
          </w:p>
        </w:tc>
      </w:tr>
    </w:tbl>
    <w:p>
      <w:pPr>
        <w:pStyle w:val="BodyText"/>
      </w:pPr>
      <w:r>
        <w:t xml:space="preserve">No records supplied in these categories: intrinsic, relations, roles, realizers, representation, truth, access, warrant, knowledge, constituents, dependence. Missing records mean “not supplied in this display,” rather than universal nonexistence.</w:t>
      </w:r>
    </w:p>
    <w:bookmarkEnd w:id="303"/>
    <w:bookmarkEnd w:id="304"/>
    <w:bookmarkEnd w:id="305"/>
    <w:bookmarkStart w:id="313" w:name="unable-to-make-the-call"/>
    <w:p>
      <w:pPr>
        <w:pStyle w:val="Heading4"/>
      </w:pPr>
      <w:r>
        <w:t xml:space="preserve">5.2. Unable to make the call</w:t>
      </w:r>
    </w:p>
    <w:p>
      <w:pPr>
        <w:pStyle w:val="FirstParagraph"/>
      </w:pPr>
      <w:r>
        <w:t xml:space="preserve">Status: finite example</w:t>
      </w:r>
    </w:p>
    <w:p>
      <w:pPr>
        <w:pStyle w:val="BodyText"/>
      </w:pPr>
      <w:r>
        <w:t xml:space="preserve">An absent outcome does not establish a free decision.</w:t>
      </w:r>
    </w:p>
    <w:bookmarkStart w:id="306" w:name="what-differs-in-this-example-11"/>
    <w:p>
      <w:pPr>
        <w:pStyle w:val="Heading5"/>
      </w:pPr>
      <w:r>
        <w:t xml:space="preserve">What differs in this example</w:t>
      </w:r>
    </w:p>
    <w:p>
      <w:pPr>
        <w:pStyle w:val="Compact"/>
        <w:numPr>
          <w:ilvl w:val="0"/>
          <w:numId w:val="1037"/>
        </w:numPr>
      </w:pPr>
      <w:r>
        <w:t xml:space="preserve">An absent outward effect</w:t>
      </w:r>
    </w:p>
    <w:bookmarkEnd w:id="306"/>
    <w:bookmarkStart w:id="307" w:name="checks-against-the-assigned-records-11"/>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no-call</w:t>
            </w:r>
          </w:p>
        </w:tc>
        <w:tc>
          <w:tcPr>
            <w:tcW w:type="dxa" w:w="2749"/>
          </w:tcPr>
          <w:p>
            <w:pPr>
              <w:pStyle w:val="BodyText"/>
              <w:keepNext w:val="0"/>
              <w:spacing w:after="80" w:line="252" w:lineRule="auto"/>
              <w:jc w:val="left"/>
            </w:pPr>
            <w:r>
              <w:rPr>
                <w:rFonts w:ascii="Calibri" w:hAnsi="Calibri"/>
                <w:sz w:val="17"/>
              </w:rPr>
              <w:t xml:space="preserve">The call is absent</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absence is stated in the example; it is not inferred from a missing label.</w:t>
            </w:r>
          </w:p>
        </w:tc>
      </w:tr>
      <w:tr>
        <w:tc>
          <w:tcPr>
            <w:tcW w:type="dxa" w:w="1689"/>
          </w:tcPr>
          <w:p>
            <w:pPr>
              <w:pStyle w:val="BodyText"/>
              <w:keepNext w:val="0"/>
              <w:spacing w:after="80" w:line="252" w:lineRule="auto"/>
              <w:jc w:val="left"/>
            </w:pPr>
            <w:r>
              <w:rPr>
                <w:rFonts w:ascii="Calibri" w:hAnsi="Calibri"/>
                <w:sz w:val="17"/>
              </w:rPr>
              <w:t xml:space="preserve">capacity</w:t>
            </w:r>
          </w:p>
        </w:tc>
        <w:tc>
          <w:tcPr>
            <w:tcW w:type="dxa" w:w="2749"/>
          </w:tcPr>
          <w:p>
            <w:pPr>
              <w:pStyle w:val="BodyText"/>
              <w:keepNext w:val="0"/>
              <w:spacing w:after="80" w:line="252" w:lineRule="auto"/>
              <w:jc w:val="left"/>
            </w:pPr>
            <w:r>
              <w:rPr>
                <w:rFonts w:ascii="Calibri" w:hAnsi="Calibri"/>
                <w:sz w:val="17"/>
              </w:rPr>
              <w:t xml:space="preserve">The alternative act is within recorded capacity</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Capacity is distinct from an absent effect.</w:t>
            </w:r>
          </w:p>
        </w:tc>
      </w:tr>
      <w:tr>
        <w:tc>
          <w:tcPr>
            <w:tcW w:type="dxa" w:w="1689"/>
          </w:tcPr>
          <w:p>
            <w:pPr>
              <w:pStyle w:val="BodyText"/>
              <w:keepNext w:val="0"/>
              <w:spacing w:after="80" w:line="252" w:lineRule="auto"/>
              <w:jc w:val="left"/>
            </w:pPr>
            <w:r>
              <w:rPr>
                <w:rFonts w:ascii="Calibri" w:hAnsi="Calibri"/>
                <w:sz w:val="17"/>
              </w:rPr>
              <w:t xml:space="preserve">deliberate-restraint</w:t>
            </w:r>
          </w:p>
        </w:tc>
        <w:tc>
          <w:tcPr>
            <w:tcW w:type="dxa" w:w="2749"/>
          </w:tcPr>
          <w:p>
            <w:pPr>
              <w:pStyle w:val="BodyText"/>
              <w:keepNext w:val="0"/>
              <w:spacing w:after="80" w:line="252" w:lineRule="auto"/>
              <w:jc w:val="left"/>
            </w:pPr>
            <w:r>
              <w:rPr>
                <w:rFonts w:ascii="Calibri" w:hAnsi="Calibri"/>
                <w:sz w:val="17"/>
              </w:rPr>
              <w:t xml:space="preserve">Controlled, intentional restraint is recorded</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The positive facts of a choice must be supplied in addition to nonoccurrence.</w:t>
            </w:r>
          </w:p>
        </w:tc>
      </w:tr>
    </w:tbl>
    <w:bookmarkEnd w:id="307"/>
    <w:bookmarkStart w:id="308" w:name="what-the-assigned-facts-support-11"/>
    <w:p>
      <w:pPr>
        <w:pStyle w:val="Heading5"/>
      </w:pPr>
      <w:r>
        <w:t xml:space="preserve">What the assigned facts support</w:t>
      </w:r>
    </w:p>
    <w:p>
      <w:pPr>
        <w:pStyle w:val="Compact"/>
        <w:numPr>
          <w:ilvl w:val="0"/>
          <w:numId w:val="1038"/>
        </w:numPr>
      </w:pPr>
      <w:r>
        <w:t xml:space="preserve">The absent call does not establish a capable, intentional decision not to call.</w:t>
      </w:r>
    </w:p>
    <w:bookmarkEnd w:id="308"/>
    <w:bookmarkStart w:id="309" w:name="what-they-do-not-establish-11"/>
    <w:p>
      <w:pPr>
        <w:pStyle w:val="Heading5"/>
      </w:pPr>
      <w:r>
        <w:t xml:space="preserve">What they do not establish</w:t>
      </w:r>
    </w:p>
    <w:p>
      <w:pPr>
        <w:pStyle w:val="Compact"/>
        <w:numPr>
          <w:ilvl w:val="0"/>
          <w:numId w:val="1039"/>
        </w:numPr>
      </w:pPr>
      <w:r>
        <w:t xml:space="preserve">No-creation freedom cannot be inferred from an empty effect-set alone.</w:t>
      </w:r>
    </w:p>
    <w:p>
      <w:pPr>
        <w:pStyle w:val="Compact"/>
        <w:numPr>
          <w:ilvl w:val="0"/>
          <w:numId w:val="1039"/>
        </w:numPr>
      </w:pPr>
      <w:r>
        <w:t xml:space="preserve">The finite example does not establish divine modal alternatives or a theory of negative facts.</w:t>
      </w:r>
    </w:p>
    <w:bookmarkEnd w:id="309"/>
    <w:bookmarkStart w:id="312" w:name="assigned-facts-11"/>
    <w:p>
      <w:pPr>
        <w:pStyle w:val="Heading5"/>
      </w:pPr>
      <w:r>
        <w:t xml:space="preserve">Assigned facts</w:t>
      </w:r>
    </w:p>
    <w:bookmarkStart w:id="310" w:name="intrinsic-1-assigned-record-1"/>
    <w:p>
      <w:pPr>
        <w:pStyle w:val="Heading6"/>
      </w:pPr>
      <w:r>
        <w:t xml:space="preserve">intrinsic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["friend","phone-access","unavailable","t0"]</w:t>
            </w:r>
          </w:p>
        </w:tc>
      </w:tr>
    </w:tbl>
    <w:bookmarkEnd w:id="310"/>
    <w:bookmarkStart w:id="311" w:name="absence-1-assigned-record-1"/>
    <w:p>
      <w:pPr>
        <w:pStyle w:val="Heading6"/>
      </w:pPr>
      <w:r>
        <w:t xml:space="preserve">absence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["phone-call","t0"]</w:t>
            </w:r>
          </w:p>
        </w:tc>
      </w:tr>
    </w:tbl>
    <w:p>
      <w:pPr>
        <w:pStyle w:val="BodyText"/>
      </w:pPr>
      <w:r>
        <w:t xml:space="preserve">No records supplied in these categories: relations, acts, control, intentions, roles, realizers, representation, truth, access, warrant, knowledge, capacity, selection, constituents, dependence. Missing records mean “not supplied in this display,” rather than universal nonexistence.</w:t>
      </w:r>
    </w:p>
    <w:bookmarkEnd w:id="311"/>
    <w:bookmarkEnd w:id="312"/>
    <w:bookmarkEnd w:id="313"/>
    <w:bookmarkStart w:id="320" w:name="only-the-absent-call-is-recorded"/>
    <w:p>
      <w:pPr>
        <w:pStyle w:val="Heading4"/>
      </w:pPr>
      <w:r>
        <w:t xml:space="preserve">5.3. Only the absent call is recorded</w:t>
      </w:r>
    </w:p>
    <w:p>
      <w:pPr>
        <w:pStyle w:val="FirstParagraph"/>
      </w:pPr>
      <w:r>
        <w:t xml:space="preserve">Status: finite example</w:t>
      </w:r>
    </w:p>
    <w:p>
      <w:pPr>
        <w:pStyle w:val="BodyText"/>
      </w:pPr>
      <w:r>
        <w:t xml:space="preserve">An absent outcome does not establish a free decision.</w:t>
      </w:r>
    </w:p>
    <w:bookmarkStart w:id="314" w:name="what-differs-in-this-example-12"/>
    <w:p>
      <w:pPr>
        <w:pStyle w:val="Heading5"/>
      </w:pPr>
      <w:r>
        <w:t xml:space="preserve">What differs in this example</w:t>
      </w:r>
    </w:p>
    <w:p>
      <w:pPr>
        <w:pStyle w:val="Compact"/>
        <w:numPr>
          <w:ilvl w:val="0"/>
          <w:numId w:val="1040"/>
        </w:numPr>
      </w:pPr>
      <w:r>
        <w:t xml:space="preserve">An absent outward effect</w:t>
      </w:r>
    </w:p>
    <w:bookmarkEnd w:id="314"/>
    <w:bookmarkStart w:id="315" w:name="checks-against-the-assigned-records-12"/>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no-call</w:t>
            </w:r>
          </w:p>
        </w:tc>
        <w:tc>
          <w:tcPr>
            <w:tcW w:type="dxa" w:w="2749"/>
          </w:tcPr>
          <w:p>
            <w:pPr>
              <w:pStyle w:val="BodyText"/>
              <w:keepNext w:val="0"/>
              <w:spacing w:after="80" w:line="252" w:lineRule="auto"/>
              <w:jc w:val="left"/>
            </w:pPr>
            <w:r>
              <w:rPr>
                <w:rFonts w:ascii="Calibri" w:hAnsi="Calibri"/>
                <w:sz w:val="17"/>
              </w:rPr>
              <w:t xml:space="preserve">The call is absent</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absence is stated in the example; it is not inferred from a missing label.</w:t>
            </w:r>
          </w:p>
        </w:tc>
      </w:tr>
      <w:tr>
        <w:tc>
          <w:tcPr>
            <w:tcW w:type="dxa" w:w="1689"/>
          </w:tcPr>
          <w:p>
            <w:pPr>
              <w:pStyle w:val="BodyText"/>
              <w:keepNext w:val="0"/>
              <w:spacing w:after="80" w:line="252" w:lineRule="auto"/>
              <w:jc w:val="left"/>
            </w:pPr>
            <w:r>
              <w:rPr>
                <w:rFonts w:ascii="Calibri" w:hAnsi="Calibri"/>
                <w:sz w:val="17"/>
              </w:rPr>
              <w:t xml:space="preserve">capacity</w:t>
            </w:r>
          </w:p>
        </w:tc>
        <w:tc>
          <w:tcPr>
            <w:tcW w:type="dxa" w:w="2749"/>
          </w:tcPr>
          <w:p>
            <w:pPr>
              <w:pStyle w:val="BodyText"/>
              <w:keepNext w:val="0"/>
              <w:spacing w:after="80" w:line="252" w:lineRule="auto"/>
              <w:jc w:val="left"/>
            </w:pPr>
            <w:r>
              <w:rPr>
                <w:rFonts w:ascii="Calibri" w:hAnsi="Calibri"/>
                <w:sz w:val="17"/>
              </w:rPr>
              <w:t xml:space="preserve">The alternative act is within recorded capacity</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Capacity is distinct from an absent effect.</w:t>
            </w:r>
          </w:p>
        </w:tc>
      </w:tr>
      <w:tr>
        <w:tc>
          <w:tcPr>
            <w:tcW w:type="dxa" w:w="1689"/>
          </w:tcPr>
          <w:p>
            <w:pPr>
              <w:pStyle w:val="BodyText"/>
              <w:keepNext w:val="0"/>
              <w:spacing w:after="80" w:line="252" w:lineRule="auto"/>
              <w:jc w:val="left"/>
            </w:pPr>
            <w:r>
              <w:rPr>
                <w:rFonts w:ascii="Calibri" w:hAnsi="Calibri"/>
                <w:sz w:val="17"/>
              </w:rPr>
              <w:t xml:space="preserve">deliberate-restraint</w:t>
            </w:r>
          </w:p>
        </w:tc>
        <w:tc>
          <w:tcPr>
            <w:tcW w:type="dxa" w:w="2749"/>
          </w:tcPr>
          <w:p>
            <w:pPr>
              <w:pStyle w:val="BodyText"/>
              <w:keepNext w:val="0"/>
              <w:spacing w:after="80" w:line="252" w:lineRule="auto"/>
              <w:jc w:val="left"/>
            </w:pPr>
            <w:r>
              <w:rPr>
                <w:rFonts w:ascii="Calibri" w:hAnsi="Calibri"/>
                <w:sz w:val="17"/>
              </w:rPr>
              <w:t xml:space="preserve">Controlled, intentional restraint is recorded</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The positive facts of a choice must be supplied in addition to nonoccurrence.</w:t>
            </w:r>
          </w:p>
        </w:tc>
      </w:tr>
    </w:tbl>
    <w:bookmarkEnd w:id="315"/>
    <w:bookmarkStart w:id="316" w:name="what-the-assigned-facts-support-12"/>
    <w:p>
      <w:pPr>
        <w:pStyle w:val="Heading5"/>
      </w:pPr>
      <w:r>
        <w:t xml:space="preserve">What the assigned facts support</w:t>
      </w:r>
    </w:p>
    <w:p>
      <w:pPr>
        <w:pStyle w:val="Compact"/>
        <w:numPr>
          <w:ilvl w:val="0"/>
          <w:numId w:val="1041"/>
        </w:numPr>
      </w:pPr>
      <w:r>
        <w:t xml:space="preserve">The absent call does not establish a capable, intentional decision not to call.</w:t>
      </w:r>
    </w:p>
    <w:bookmarkEnd w:id="316"/>
    <w:bookmarkStart w:id="317" w:name="what-they-do-not-establish-12"/>
    <w:p>
      <w:pPr>
        <w:pStyle w:val="Heading5"/>
      </w:pPr>
      <w:r>
        <w:t xml:space="preserve">What they do not establish</w:t>
      </w:r>
    </w:p>
    <w:p>
      <w:pPr>
        <w:pStyle w:val="Compact"/>
        <w:numPr>
          <w:ilvl w:val="0"/>
          <w:numId w:val="1042"/>
        </w:numPr>
      </w:pPr>
      <w:r>
        <w:t xml:space="preserve">No-creation freedom cannot be inferred from an empty effect-set alone.</w:t>
      </w:r>
    </w:p>
    <w:p>
      <w:pPr>
        <w:pStyle w:val="Compact"/>
        <w:numPr>
          <w:ilvl w:val="0"/>
          <w:numId w:val="1042"/>
        </w:numPr>
      </w:pPr>
      <w:r>
        <w:t xml:space="preserve">The finite example does not establish divine modal alternatives or a theory of negative facts.</w:t>
      </w:r>
    </w:p>
    <w:bookmarkEnd w:id="317"/>
    <w:bookmarkStart w:id="319" w:name="assigned-facts-12"/>
    <w:p>
      <w:pPr>
        <w:pStyle w:val="Heading5"/>
      </w:pPr>
      <w:r>
        <w:t xml:space="preserve">Assigned facts</w:t>
      </w:r>
    </w:p>
    <w:bookmarkStart w:id="318" w:name="absence-1-assigned-record-2"/>
    <w:p>
      <w:pPr>
        <w:pStyle w:val="Heading6"/>
      </w:pPr>
      <w:r>
        <w:t xml:space="preserve">absence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["phone-call","t0"]</w:t>
            </w:r>
          </w:p>
        </w:tc>
      </w:tr>
    </w:tbl>
    <w:p>
      <w:pPr>
        <w:pStyle w:val="BodyText"/>
      </w:pPr>
      <w:r>
        <w:t xml:space="preserve">No records supplied in these categories: intrinsic, relations, acts, control, intentions, roles, realizers, representation, truth, access, warrant, knowledge, capacity, selection, constituents, dependence. Missing records mean “not supplied in this display,” rather than universal nonexistence.</w:t>
      </w:r>
    </w:p>
    <w:bookmarkEnd w:id="318"/>
    <w:bookmarkEnd w:id="319"/>
    <w:bookmarkEnd w:id="320"/>
    <w:bookmarkEnd w:id="321"/>
    <w:bookmarkStart w:id="351" w:name="divine-action-without-intrinsic-change"/>
    <w:p>
      <w:pPr>
        <w:pStyle w:val="Heading3"/>
      </w:pPr>
      <w:r>
        <w:t xml:space="preserve">6. Divine action without intrinsic change?</w:t>
      </w:r>
    </w:p>
    <w:p>
      <w:pPr>
        <w:pStyle w:val="FirstParagraph"/>
      </w:pPr>
      <w:r>
        <w:t xml:space="preserve">How could God freely cause this world rather than another without acquiring a new intrinsic determination?</w:t>
      </w:r>
    </w:p>
    <w:p>
      <w:pPr>
        <w:pStyle w:val="BodyText"/>
      </w:pPr>
      <w:r>
        <w:t xml:space="preserve">This advanced case assigns facts to a disputed relational account of divine action. Its consistency as a display does not establish that the account is metaphysically possible.</w:t>
      </w:r>
    </w:p>
    <w:bookmarkStart w:id="332" w:name="a-relational-account-of-divine-action"/>
    <w:p>
      <w:pPr>
        <w:pStyle w:val="Heading4"/>
      </w:pPr>
      <w:r>
        <w:t xml:space="preserve">6.1. A relational account of divine action</w:t>
      </w:r>
    </w:p>
    <w:p>
      <w:pPr>
        <w:pStyle w:val="FirstParagraph"/>
      </w:pPr>
      <w:r>
        <w:t xml:space="preserve">Status: conditional divine-action model</w:t>
      </w:r>
    </w:p>
    <w:p>
      <w:pPr>
        <w:pStyle w:val="BodyText"/>
      </w:pPr>
      <w:r>
        <w:t xml:space="preserve">A conditional account of divine action, with an explicit argumentative burden.</w:t>
      </w:r>
    </w:p>
    <w:bookmarkStart w:id="322" w:name="what-differs-in-this-example-13"/>
    <w:p>
      <w:pPr>
        <w:pStyle w:val="Heading5"/>
      </w:pPr>
      <w:r>
        <w:t xml:space="preserve">What differs in this example</w:t>
      </w:r>
    </w:p>
    <w:p>
      <w:pPr>
        <w:pStyle w:val="Compact"/>
        <w:numPr>
          <w:ilvl w:val="0"/>
          <w:numId w:val="1043"/>
        </w:numPr>
      </w:pPr>
      <w:r>
        <w:t xml:space="preserve">Intended actions described relationally</w:t>
      </w:r>
    </w:p>
    <w:p>
      <w:pPr>
        <w:pStyle w:val="Compact"/>
        <w:numPr>
          <w:ilvl w:val="0"/>
          <w:numId w:val="1043"/>
        </w:numPr>
      </w:pPr>
      <w:r>
        <w:t xml:space="preserve">Different created outcomes</w:t>
      </w:r>
    </w:p>
    <w:bookmarkEnd w:id="322"/>
    <w:bookmarkStart w:id="323" w:name="checks-against-the-assigned-records-13"/>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profile-invariant</w:t>
            </w:r>
          </w:p>
        </w:tc>
        <w:tc>
          <w:tcPr>
            <w:tcW w:type="dxa" w:w="2749"/>
          </w:tcPr>
          <w:p>
            <w:pPr>
              <w:pStyle w:val="BodyText"/>
              <w:keepNext w:val="0"/>
              <w:spacing w:after="80" w:line="252" w:lineRule="auto"/>
              <w:jc w:val="left"/>
            </w:pPr>
            <w:r>
              <w:rPr>
                <w:rFonts w:ascii="Calibri" w:hAnsi="Calibri"/>
                <w:sz w:val="17"/>
              </w:rPr>
              <w:t xml:space="preserve">The recorded intrinsic features are the same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Only the displayed intrinsic features are compared. Whether they exhaust intrinsic reality needs another argument.</w:t>
            </w:r>
          </w:p>
        </w:tc>
      </w:tr>
      <w:tr>
        <w:tc>
          <w:tcPr>
            <w:tcW w:type="dxa" w:w="1689"/>
          </w:tcPr>
          <w:p>
            <w:pPr>
              <w:pStyle w:val="BodyText"/>
              <w:keepNext w:val="0"/>
              <w:spacing w:after="80" w:line="252" w:lineRule="auto"/>
              <w:jc w:val="left"/>
            </w:pPr>
            <w:r>
              <w:rPr>
                <w:rFonts w:ascii="Calibri" w:hAnsi="Calibri"/>
                <w:sz w:val="17"/>
              </w:rPr>
              <w:t xml:space="preserve">agent-control</w:t>
            </w:r>
          </w:p>
        </w:tc>
        <w:tc>
          <w:tcPr>
            <w:tcW w:type="dxa" w:w="2749"/>
          </w:tcPr>
          <w:p>
            <w:pPr>
              <w:pStyle w:val="BodyText"/>
              <w:keepNext w:val="0"/>
              <w:spacing w:after="80" w:line="252" w:lineRule="auto"/>
              <w:jc w:val="left"/>
            </w:pPr>
            <w:r>
              <w:rPr>
                <w:rFonts w:ascii="Calibri" w:hAnsi="Calibri"/>
                <w:sz w:val="17"/>
              </w:rPr>
              <w:t xml:space="preserve">Actual actions have control, choice, and intention</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Powers alone do not establish an actual choice. The proposed controlled action is an additional assumption.</w:t>
            </w:r>
          </w:p>
        </w:tc>
      </w:tr>
      <w:tr>
        <w:tc>
          <w:tcPr>
            <w:tcW w:type="dxa" w:w="1689"/>
          </w:tcPr>
          <w:p>
            <w:pPr>
              <w:pStyle w:val="BodyText"/>
              <w:keepNext w:val="0"/>
              <w:spacing w:after="80" w:line="252" w:lineRule="auto"/>
              <w:jc w:val="left"/>
            </w:pPr>
            <w:r>
              <w:rPr>
                <w:rFonts w:ascii="Calibri" w:hAnsi="Calibri"/>
                <w:sz w:val="17"/>
              </w:rPr>
              <w:t xml:space="preserve">local-noncomposition</w:t>
            </w:r>
          </w:p>
        </w:tc>
        <w:tc>
          <w:tcPr>
            <w:tcW w:type="dxa" w:w="2749"/>
          </w:tcPr>
          <w:p>
            <w:pPr>
              <w:pStyle w:val="BodyText"/>
              <w:keepNext w:val="0"/>
              <w:spacing w:after="80" w:line="252" w:lineRule="auto"/>
              <w:jc w:val="left"/>
            </w:pPr>
            <w:r>
              <w:rPr>
                <w:rFonts w:ascii="Calibri" w:hAnsi="Calibri"/>
                <w:sz w:val="17"/>
              </w:rPr>
              <w:t xml:space="preserve">No divine parts or dependence on something else are assigned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This is an assigned feature, not proof that the interpretation is possible.</w:t>
            </w:r>
          </w:p>
        </w:tc>
      </w:tr>
    </w:tbl>
    <w:bookmarkEnd w:id="323"/>
    <w:bookmarkStart w:id="324" w:name="what-the-assigned-facts-support-13"/>
    <w:p>
      <w:pPr>
        <w:pStyle w:val="Heading5"/>
      </w:pPr>
      <w:r>
        <w:t xml:space="preserve">What the assigned facts support</w:t>
      </w:r>
    </w:p>
    <w:p>
      <w:pPr>
        <w:pStyle w:val="Compact"/>
        <w:numPr>
          <w:ilvl w:val="0"/>
          <w:numId w:val="1044"/>
        </w:numPr>
      </w:pPr>
      <w:r>
        <w:t xml:space="preserve">The interpretation assigns actual controlled and intended actions. The effects alone would not establish those facts.</w:t>
      </w:r>
    </w:p>
    <w:p>
      <w:pPr>
        <w:pStyle w:val="Compact"/>
        <w:numPr>
          <w:ilvl w:val="0"/>
          <w:numId w:val="1044"/>
        </w:numPr>
      </w:pPr>
      <w:r>
        <w:t xml:space="preserve">Different outcomes do not automatically insert parts into God.</w:t>
      </w:r>
    </w:p>
    <w:bookmarkEnd w:id="324"/>
    <w:bookmarkStart w:id="325" w:name="what-they-do-not-establish-13"/>
    <w:p>
      <w:pPr>
        <w:pStyle w:val="Heading5"/>
      </w:pPr>
      <w:r>
        <w:t xml:space="preserve">What they do not establish</w:t>
      </w:r>
    </w:p>
    <w:p>
      <w:pPr>
        <w:pStyle w:val="Compact"/>
        <w:numPr>
          <w:ilvl w:val="0"/>
          <w:numId w:val="1045"/>
        </w:numPr>
      </w:pPr>
      <w:r>
        <w:t xml:space="preserve">Matching example records does not establish genuine metaphysical possibility.</w:t>
      </w:r>
    </w:p>
    <w:p>
      <w:pPr>
        <w:pStyle w:val="Compact"/>
        <w:numPr>
          <w:ilvl w:val="0"/>
          <w:numId w:val="1045"/>
        </w:numPr>
      </w:pPr>
      <w:r>
        <w:t xml:space="preserve">How God can act with a particular intention without an added intrinsic feature remains the central argumentative burden.</w:t>
      </w:r>
    </w:p>
    <w:p>
      <w:pPr>
        <w:pStyle w:val="Compact"/>
        <w:numPr>
          <w:ilvl w:val="0"/>
          <w:numId w:val="1045"/>
        </w:numPr>
      </w:pPr>
      <w:r>
        <w:t xml:space="preserve">Neither absolute underivation, full simplicity, intrinsic invariance, genuine alternatives, nor omniscience is proved here.</w:t>
      </w:r>
    </w:p>
    <w:bookmarkEnd w:id="325"/>
    <w:bookmarkStart w:id="331" w:name="assigned-facts-13"/>
    <w:p>
      <w:pPr>
        <w:pStyle w:val="Heading5"/>
      </w:pPr>
      <w:r>
        <w:t xml:space="preserve">Assigned facts</w:t>
      </w:r>
    </w:p>
    <w:bookmarkStart w:id="326" w:name="intrinsic-2-assigned-records"/>
    <w:p>
      <w:pPr>
        <w:pStyle w:val="Heading6"/>
      </w:pPr>
      <w:r>
        <w:t xml:space="preserve">intrinsic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["source","power","unreceived","wA"]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["source","power","unreceived","wB"]</w:t>
            </w:r>
          </w:p>
        </w:tc>
      </w:tr>
    </w:tbl>
    <w:bookmarkEnd w:id="326"/>
    <w:bookmarkStart w:id="327" w:name="acts-2-assigned-records-2"/>
    <w:p>
      <w:pPr>
        <w:pStyle w:val="Heading6"/>
      </w:pPr>
      <w:r>
        <w:t xml:space="preserve">acts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["source","exercise-A","creation-A","wA"]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["source","exercise-B","creation-B","wB"]</w:t>
            </w:r>
          </w:p>
        </w:tc>
      </w:tr>
    </w:tbl>
    <w:bookmarkEnd w:id="327"/>
    <w:bookmarkStart w:id="328" w:name="control-2-assigned-records-1"/>
    <w:p>
      <w:pPr>
        <w:pStyle w:val="Heading6"/>
      </w:pPr>
      <w:r>
        <w:t xml:space="preserve">control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["source","exercise-B","wB"]</w:t>
            </w:r>
          </w:p>
        </w:tc>
      </w:tr>
    </w:tbl>
    <w:bookmarkEnd w:id="328"/>
    <w:bookmarkStart w:id="329" w:name="intentions-2-assigned-records-1"/>
    <w:p>
      <w:pPr>
        <w:pStyle w:val="Heading6"/>
      </w:pPr>
      <w:r>
        <w:t xml:space="preserve">intentions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["source","exercise-A","good-A","wA"]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["source","exercise-B","good-B","wB"]</w:t>
            </w:r>
          </w:p>
        </w:tc>
      </w:tr>
    </w:tbl>
    <w:bookmarkEnd w:id="329"/>
    <w:bookmarkStart w:id="330" w:name="selection-2-assigned-records"/>
    <w:p>
      <w:pPr>
        <w:pStyle w:val="Heading6"/>
      </w:pPr>
      <w:r>
        <w:t xml:space="preserve">selection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["source","exercise-B","wB"]</w:t>
            </w:r>
          </w:p>
        </w:tc>
      </w:tr>
    </w:tbl>
    <w:p>
      <w:pPr>
        <w:pStyle w:val="BodyText"/>
      </w:pPr>
      <w:r>
        <w:t xml:space="preserve">No records supplied in these categories: relations, roles, realizers, representation, truth, access, warrant, knowledge, capacity, absence, constituents, dependence. Missing records mean “not supplied in this display,” rather than universal nonexistence.</w:t>
      </w:r>
    </w:p>
    <w:bookmarkEnd w:id="330"/>
    <w:bookmarkEnd w:id="331"/>
    <w:bookmarkEnd w:id="332"/>
    <w:bookmarkStart w:id="339" w:name="the-same-powers-alone"/>
    <w:p>
      <w:pPr>
        <w:pStyle w:val="Heading4"/>
      </w:pPr>
      <w:r>
        <w:t xml:space="preserve">6.2. The same powers alone</w:t>
      </w:r>
    </w:p>
    <w:p>
      <w:pPr>
        <w:pStyle w:val="FirstParagraph"/>
      </w:pPr>
      <w:r>
        <w:t xml:space="preserve">Status: conditional divine-action model</w:t>
      </w:r>
    </w:p>
    <w:p>
      <w:pPr>
        <w:pStyle w:val="BodyText"/>
      </w:pPr>
      <w:r>
        <w:t xml:space="preserve">The same powers alone do not identify a choice.</w:t>
      </w:r>
    </w:p>
    <w:bookmarkStart w:id="333" w:name="what-differs-in-this-example-14"/>
    <w:p>
      <w:pPr>
        <w:pStyle w:val="Heading5"/>
      </w:pPr>
      <w:r>
        <w:t xml:space="preserve">What differs in this example</w:t>
      </w:r>
    </w:p>
    <w:p>
      <w:pPr>
        <w:pStyle w:val="Compact"/>
        <w:numPr>
          <w:ilvl w:val="0"/>
          <w:numId w:val="1046"/>
        </w:numPr>
      </w:pPr>
      <w:r>
        <w:t xml:space="preserve">Assigned intrinsic features</w:t>
      </w:r>
    </w:p>
    <w:p>
      <w:pPr>
        <w:pStyle w:val="Compact"/>
        <w:numPr>
          <w:ilvl w:val="0"/>
          <w:numId w:val="1046"/>
        </w:numPr>
      </w:pPr>
      <w:r>
        <w:t xml:space="preserve">No actual choice supplied</w:t>
      </w:r>
    </w:p>
    <w:bookmarkEnd w:id="333"/>
    <w:bookmarkStart w:id="334" w:name="checks-against-the-assigned-records-14"/>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profile-invariant</w:t>
            </w:r>
          </w:p>
        </w:tc>
        <w:tc>
          <w:tcPr>
            <w:tcW w:type="dxa" w:w="2749"/>
          </w:tcPr>
          <w:p>
            <w:pPr>
              <w:pStyle w:val="BodyText"/>
              <w:keepNext w:val="0"/>
              <w:spacing w:after="80" w:line="252" w:lineRule="auto"/>
              <w:jc w:val="left"/>
            </w:pPr>
            <w:r>
              <w:rPr>
                <w:rFonts w:ascii="Calibri" w:hAnsi="Calibri"/>
                <w:sz w:val="17"/>
              </w:rPr>
              <w:t xml:space="preserve">The recorded intrinsic features are the same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Only the displayed intrinsic features are compared. Whether they exhaust intrinsic reality needs another argument.</w:t>
            </w:r>
          </w:p>
        </w:tc>
      </w:tr>
      <w:tr>
        <w:tc>
          <w:tcPr>
            <w:tcW w:type="dxa" w:w="1689"/>
          </w:tcPr>
          <w:p>
            <w:pPr>
              <w:pStyle w:val="BodyText"/>
              <w:keepNext w:val="0"/>
              <w:spacing w:after="80" w:line="252" w:lineRule="auto"/>
              <w:jc w:val="left"/>
            </w:pPr>
            <w:r>
              <w:rPr>
                <w:rFonts w:ascii="Calibri" w:hAnsi="Calibri"/>
                <w:sz w:val="17"/>
              </w:rPr>
              <w:t xml:space="preserve">agent-control</w:t>
            </w:r>
          </w:p>
        </w:tc>
        <w:tc>
          <w:tcPr>
            <w:tcW w:type="dxa" w:w="2749"/>
          </w:tcPr>
          <w:p>
            <w:pPr>
              <w:pStyle w:val="BodyText"/>
              <w:keepNext w:val="0"/>
              <w:spacing w:after="80" w:line="252" w:lineRule="auto"/>
              <w:jc w:val="left"/>
            </w:pPr>
            <w:r>
              <w:rPr>
                <w:rFonts w:ascii="Calibri" w:hAnsi="Calibri"/>
                <w:sz w:val="17"/>
              </w:rPr>
              <w:t xml:space="preserve">Actual actions have control, choice, and intention</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Powers alone do not establish an actual choice. The proposed controlled action is an additional assumption.</w:t>
            </w:r>
          </w:p>
        </w:tc>
      </w:tr>
      <w:tr>
        <w:tc>
          <w:tcPr>
            <w:tcW w:type="dxa" w:w="1689"/>
          </w:tcPr>
          <w:p>
            <w:pPr>
              <w:pStyle w:val="BodyText"/>
              <w:keepNext w:val="0"/>
              <w:spacing w:after="80" w:line="252" w:lineRule="auto"/>
              <w:jc w:val="left"/>
            </w:pPr>
            <w:r>
              <w:rPr>
                <w:rFonts w:ascii="Calibri" w:hAnsi="Calibri"/>
                <w:sz w:val="17"/>
              </w:rPr>
              <w:t xml:space="preserve">local-noncomposition</w:t>
            </w:r>
          </w:p>
        </w:tc>
        <w:tc>
          <w:tcPr>
            <w:tcW w:type="dxa" w:w="2749"/>
          </w:tcPr>
          <w:p>
            <w:pPr>
              <w:pStyle w:val="BodyText"/>
              <w:keepNext w:val="0"/>
              <w:spacing w:after="80" w:line="252" w:lineRule="auto"/>
              <w:jc w:val="left"/>
            </w:pPr>
            <w:r>
              <w:rPr>
                <w:rFonts w:ascii="Calibri" w:hAnsi="Calibri"/>
                <w:sz w:val="17"/>
              </w:rPr>
              <w:t xml:space="preserve">No divine parts or dependence on something else are assigned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This is an assigned feature, not proof that the interpretation is possible.</w:t>
            </w:r>
          </w:p>
        </w:tc>
      </w:tr>
    </w:tbl>
    <w:bookmarkEnd w:id="334"/>
    <w:bookmarkStart w:id="335" w:name="what-the-assigned-facts-support-14"/>
    <w:p>
      <w:pPr>
        <w:pStyle w:val="Heading5"/>
      </w:pPr>
      <w:r>
        <w:t xml:space="preserve">What the assigned facts support</w:t>
      </w:r>
    </w:p>
    <w:p>
      <w:pPr>
        <w:pStyle w:val="Compact"/>
        <w:numPr>
          <w:ilvl w:val="0"/>
          <w:numId w:val="1047"/>
        </w:numPr>
      </w:pPr>
      <w:r>
        <w:t xml:space="preserve">The same intrinsic powers do not by themselves identify an actual choice.</w:t>
      </w:r>
    </w:p>
    <w:p>
      <w:pPr>
        <w:pStyle w:val="Compact"/>
        <w:numPr>
          <w:ilvl w:val="0"/>
          <w:numId w:val="1047"/>
        </w:numPr>
      </w:pPr>
      <w:r>
        <w:t xml:space="preserve">Different outcomes do not automatically insert parts into God.</w:t>
      </w:r>
    </w:p>
    <w:bookmarkEnd w:id="335"/>
    <w:bookmarkStart w:id="336" w:name="what-they-do-not-establish-14"/>
    <w:p>
      <w:pPr>
        <w:pStyle w:val="Heading5"/>
      </w:pPr>
      <w:r>
        <w:t xml:space="preserve">What they do not establish</w:t>
      </w:r>
    </w:p>
    <w:p>
      <w:pPr>
        <w:pStyle w:val="Compact"/>
        <w:numPr>
          <w:ilvl w:val="0"/>
          <w:numId w:val="1048"/>
        </w:numPr>
      </w:pPr>
      <w:r>
        <w:t xml:space="preserve">Matching example records does not establish genuine metaphysical possibility.</w:t>
      </w:r>
    </w:p>
    <w:p>
      <w:pPr>
        <w:pStyle w:val="Compact"/>
        <w:numPr>
          <w:ilvl w:val="0"/>
          <w:numId w:val="1048"/>
        </w:numPr>
      </w:pPr>
      <w:r>
        <w:t xml:space="preserve">How God can act with a particular intention without an added intrinsic feature remains the central argumentative burden.</w:t>
      </w:r>
    </w:p>
    <w:p>
      <w:pPr>
        <w:pStyle w:val="Compact"/>
        <w:numPr>
          <w:ilvl w:val="0"/>
          <w:numId w:val="1048"/>
        </w:numPr>
      </w:pPr>
      <w:r>
        <w:t xml:space="preserve">Neither absolute underivation, full simplicity, intrinsic invariance, genuine alternatives, nor omniscience is proved here.</w:t>
      </w:r>
    </w:p>
    <w:bookmarkEnd w:id="336"/>
    <w:bookmarkStart w:id="338" w:name="assigned-facts-14"/>
    <w:p>
      <w:pPr>
        <w:pStyle w:val="Heading5"/>
      </w:pPr>
      <w:r>
        <w:t xml:space="preserve">Assigned facts</w:t>
      </w:r>
    </w:p>
    <w:bookmarkStart w:id="337" w:name="intrinsic-2-assigned-records-1"/>
    <w:p>
      <w:pPr>
        <w:pStyle w:val="Heading6"/>
      </w:pPr>
      <w:r>
        <w:t xml:space="preserve">intrinsic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["source","power","unreceived","wA"]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["source","power","unreceived","wB"]</w:t>
            </w:r>
          </w:p>
        </w:tc>
      </w:tr>
    </w:tbl>
    <w:p>
      <w:pPr>
        <w:pStyle w:val="BodyText"/>
      </w:pPr>
      <w:r>
        <w:t xml:space="preserve">No records supplied in these categories: relations, acts, control, intentions, roles, realizers, representation, truth, access, warrant, knowledge, capacity, selection, absence, constituents, dependence. Missing records mean “not supplied in this display,” rather than universal nonexistence.</w:t>
      </w:r>
    </w:p>
    <w:bookmarkEnd w:id="337"/>
    <w:bookmarkEnd w:id="338"/>
    <w:bookmarkEnd w:id="339"/>
    <w:bookmarkStart w:id="350" w:name="an-intrinsic-intention-also-differs"/>
    <w:p>
      <w:pPr>
        <w:pStyle w:val="Heading4"/>
      </w:pPr>
      <w:r>
        <w:t xml:space="preserve">6.3. An intrinsic intention also differs</w:t>
      </w:r>
    </w:p>
    <w:p>
      <w:pPr>
        <w:pStyle w:val="FirstParagraph"/>
      </w:pPr>
      <w:r>
        <w:t xml:space="preserve">Status: conditional divine-action model</w:t>
      </w:r>
    </w:p>
    <w:p>
      <w:pPr>
        <w:pStyle w:val="BodyText"/>
      </w:pPr>
      <w:r>
        <w:t xml:space="preserve">A rival account: intrinsic differences without assigned proper parts.</w:t>
      </w:r>
    </w:p>
    <w:bookmarkStart w:id="340" w:name="what-differs-in-this-example-15"/>
    <w:p>
      <w:pPr>
        <w:pStyle w:val="Heading5"/>
      </w:pPr>
      <w:r>
        <w:t xml:space="preserve">What differs in this example</w:t>
      </w:r>
    </w:p>
    <w:p>
      <w:pPr>
        <w:pStyle w:val="Compact"/>
        <w:numPr>
          <w:ilvl w:val="0"/>
          <w:numId w:val="1049"/>
        </w:numPr>
      </w:pPr>
      <w:r>
        <w:t xml:space="preserve">An intrinsic intentional difference</w:t>
      </w:r>
    </w:p>
    <w:p>
      <w:pPr>
        <w:pStyle w:val="Compact"/>
        <w:numPr>
          <w:ilvl w:val="0"/>
          <w:numId w:val="1049"/>
        </w:numPr>
      </w:pPr>
      <w:r>
        <w:t xml:space="preserve">Different created outcomes</w:t>
      </w:r>
    </w:p>
    <w:bookmarkEnd w:id="340"/>
    <w:bookmarkStart w:id="341" w:name="checks-against-the-assigned-records-15"/>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profile-invariant</w:t>
            </w:r>
          </w:p>
        </w:tc>
        <w:tc>
          <w:tcPr>
            <w:tcW w:type="dxa" w:w="2749"/>
          </w:tcPr>
          <w:p>
            <w:pPr>
              <w:pStyle w:val="BodyText"/>
              <w:keepNext w:val="0"/>
              <w:spacing w:after="80" w:line="252" w:lineRule="auto"/>
              <w:jc w:val="left"/>
            </w:pPr>
            <w:r>
              <w:rPr>
                <w:rFonts w:ascii="Calibri" w:hAnsi="Calibri"/>
                <w:sz w:val="17"/>
              </w:rPr>
              <w:t xml:space="preserve">The recorded intrinsic features are the same</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Only the displayed intrinsic features are compared. Whether they exhaust intrinsic reality needs another argument.</w:t>
            </w:r>
          </w:p>
        </w:tc>
      </w:tr>
      <w:tr>
        <w:tc>
          <w:tcPr>
            <w:tcW w:type="dxa" w:w="1689"/>
          </w:tcPr>
          <w:p>
            <w:pPr>
              <w:pStyle w:val="BodyText"/>
              <w:keepNext w:val="0"/>
              <w:spacing w:after="80" w:line="252" w:lineRule="auto"/>
              <w:jc w:val="left"/>
            </w:pPr>
            <w:r>
              <w:rPr>
                <w:rFonts w:ascii="Calibri" w:hAnsi="Calibri"/>
                <w:sz w:val="17"/>
              </w:rPr>
              <w:t xml:space="preserve">agent-control</w:t>
            </w:r>
          </w:p>
        </w:tc>
        <w:tc>
          <w:tcPr>
            <w:tcW w:type="dxa" w:w="2749"/>
          </w:tcPr>
          <w:p>
            <w:pPr>
              <w:pStyle w:val="BodyText"/>
              <w:keepNext w:val="0"/>
              <w:spacing w:after="80" w:line="252" w:lineRule="auto"/>
              <w:jc w:val="left"/>
            </w:pPr>
            <w:r>
              <w:rPr>
                <w:rFonts w:ascii="Calibri" w:hAnsi="Calibri"/>
                <w:sz w:val="17"/>
              </w:rPr>
              <w:t xml:space="preserve">Actual actions have control, choice, and intention</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Powers alone do not establish an actual choice. The proposed controlled action is an additional assumption.</w:t>
            </w:r>
          </w:p>
        </w:tc>
      </w:tr>
      <w:tr>
        <w:tc>
          <w:tcPr>
            <w:tcW w:type="dxa" w:w="1689"/>
          </w:tcPr>
          <w:p>
            <w:pPr>
              <w:pStyle w:val="BodyText"/>
              <w:keepNext w:val="0"/>
              <w:spacing w:after="80" w:line="252" w:lineRule="auto"/>
              <w:jc w:val="left"/>
            </w:pPr>
            <w:r>
              <w:rPr>
                <w:rFonts w:ascii="Calibri" w:hAnsi="Calibri"/>
                <w:sz w:val="17"/>
              </w:rPr>
              <w:t xml:space="preserve">local-noncomposition</w:t>
            </w:r>
          </w:p>
        </w:tc>
        <w:tc>
          <w:tcPr>
            <w:tcW w:type="dxa" w:w="2749"/>
          </w:tcPr>
          <w:p>
            <w:pPr>
              <w:pStyle w:val="BodyText"/>
              <w:keepNext w:val="0"/>
              <w:spacing w:after="80" w:line="252" w:lineRule="auto"/>
              <w:jc w:val="left"/>
            </w:pPr>
            <w:r>
              <w:rPr>
                <w:rFonts w:ascii="Calibri" w:hAnsi="Calibri"/>
                <w:sz w:val="17"/>
              </w:rPr>
              <w:t xml:space="preserve">No divine parts or dependence on something else are assigned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This is an assigned feature, not proof that the interpretation is possible.</w:t>
            </w:r>
          </w:p>
        </w:tc>
      </w:tr>
    </w:tbl>
    <w:bookmarkEnd w:id="341"/>
    <w:bookmarkStart w:id="342" w:name="what-the-assigned-facts-support-15"/>
    <w:p>
      <w:pPr>
        <w:pStyle w:val="Heading5"/>
      </w:pPr>
      <w:r>
        <w:t xml:space="preserve">What the assigned facts support</w:t>
      </w:r>
    </w:p>
    <w:p>
      <w:pPr>
        <w:pStyle w:val="Compact"/>
        <w:numPr>
          <w:ilvl w:val="0"/>
          <w:numId w:val="1050"/>
        </w:numPr>
      </w:pPr>
      <w:r>
        <w:t xml:space="preserve">The interpretation assigns actual controlled and intended actions. The effects alone would not establish those facts.</w:t>
      </w:r>
    </w:p>
    <w:p>
      <w:pPr>
        <w:pStyle w:val="Compact"/>
        <w:numPr>
          <w:ilvl w:val="0"/>
          <w:numId w:val="1050"/>
        </w:numPr>
      </w:pPr>
      <w:r>
        <w:t xml:space="preserve">Different intrinsic intentions do not, in these records, introduce proper intrinsic parts.</w:t>
      </w:r>
    </w:p>
    <w:bookmarkEnd w:id="342"/>
    <w:bookmarkStart w:id="343" w:name="what-they-do-not-establish-15"/>
    <w:p>
      <w:pPr>
        <w:pStyle w:val="Heading5"/>
      </w:pPr>
      <w:r>
        <w:t xml:space="preserve">What they do not establish</w:t>
      </w:r>
    </w:p>
    <w:p>
      <w:pPr>
        <w:pStyle w:val="Compact"/>
        <w:numPr>
          <w:ilvl w:val="0"/>
          <w:numId w:val="1051"/>
        </w:numPr>
      </w:pPr>
      <w:r>
        <w:t xml:space="preserve">Matching example records does not establish genuine metaphysical possibility.</w:t>
      </w:r>
    </w:p>
    <w:p>
      <w:pPr>
        <w:pStyle w:val="Compact"/>
        <w:numPr>
          <w:ilvl w:val="0"/>
          <w:numId w:val="1051"/>
        </w:numPr>
      </w:pPr>
      <w:r>
        <w:t xml:space="preserve">How God can act with a particular intention without an added intrinsic feature remains the central argumentative burden.</w:t>
      </w:r>
    </w:p>
    <w:p>
      <w:pPr>
        <w:pStyle w:val="Compact"/>
        <w:numPr>
          <w:ilvl w:val="0"/>
          <w:numId w:val="1051"/>
        </w:numPr>
      </w:pPr>
      <w:r>
        <w:t xml:space="preserve">Neither absolute underivation, full simplicity, intrinsic invariance, genuine alternatives, nor omniscience is proved here.</w:t>
      </w:r>
    </w:p>
    <w:bookmarkEnd w:id="343"/>
    <w:bookmarkStart w:id="349" w:name="assigned-facts-15"/>
    <w:p>
      <w:pPr>
        <w:pStyle w:val="Heading5"/>
      </w:pPr>
      <w:r>
        <w:t xml:space="preserve">Assigned facts</w:t>
      </w:r>
    </w:p>
    <w:bookmarkStart w:id="344" w:name="intrinsic-4-assigned-records-1"/>
    <w:p>
      <w:pPr>
        <w:pStyle w:val="Heading6"/>
      </w:pPr>
      <w:r>
        <w:t xml:space="preserve">intrinsic — 4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["source","power","unreceived","wA"]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["source","power","unreceived","wB"]</w:t>
            </w:r>
          </w:p>
        </w:tc>
      </w:tr>
      <w:tr>
        <w:tc>
          <w:tcPr>
            <w:tcW w:type="dxa" w:w="2484"/>
          </w:tcPr>
          <w:p>
            <w:pPr>
              <w:pStyle w:val="BodyText"/>
              <w:keepNext w:val="0"/>
              <w:spacing w:after="80" w:line="252" w:lineRule="auto"/>
              <w:jc w:val="left"/>
            </w:pPr>
            <w:r>
              <w:rPr>
                <w:rFonts w:ascii="Calibri" w:hAnsi="Calibri"/>
                <w:sz w:val="17"/>
              </w:rPr>
              <w:t xml:space="preserve">3</w:t>
            </w:r>
          </w:p>
        </w:tc>
        <w:tc>
          <w:tcPr>
            <w:tcW w:type="dxa" w:w="7452"/>
          </w:tcPr>
          <w:p>
            <w:pPr>
              <w:pStyle w:val="BodyText"/>
              <w:keepNext w:val="0"/>
              <w:spacing w:after="80" w:line="252" w:lineRule="auto"/>
              <w:jc w:val="left"/>
            </w:pPr>
            <w:r>
              <w:rPr>
                <w:rFonts w:ascii="Calibri" w:hAnsi="Calibri"/>
                <w:sz w:val="17"/>
              </w:rPr>
              <w:t xml:space="preserve">["source","intrinsic-intention","A","wA"]</w:t>
            </w:r>
          </w:p>
        </w:tc>
      </w:tr>
      <w:tr>
        <w:tc>
          <w:tcPr>
            <w:tcW w:type="dxa" w:w="2484"/>
          </w:tcPr>
          <w:p>
            <w:pPr>
              <w:pStyle w:val="BodyText"/>
              <w:keepNext w:val="0"/>
              <w:spacing w:after="80" w:line="252" w:lineRule="auto"/>
              <w:jc w:val="left"/>
            </w:pPr>
            <w:r>
              <w:rPr>
                <w:rFonts w:ascii="Calibri" w:hAnsi="Calibri"/>
                <w:sz w:val="17"/>
              </w:rPr>
              <w:t xml:space="preserve">4</w:t>
            </w:r>
          </w:p>
        </w:tc>
        <w:tc>
          <w:tcPr>
            <w:tcW w:type="dxa" w:w="7452"/>
          </w:tcPr>
          <w:p>
            <w:pPr>
              <w:pStyle w:val="BodyText"/>
              <w:keepNext w:val="0"/>
              <w:spacing w:after="80" w:line="252" w:lineRule="auto"/>
              <w:jc w:val="left"/>
            </w:pPr>
            <w:r>
              <w:rPr>
                <w:rFonts w:ascii="Calibri" w:hAnsi="Calibri"/>
                <w:sz w:val="17"/>
              </w:rPr>
              <w:t xml:space="preserve">["source","intrinsic-intention","B","wB"]</w:t>
            </w:r>
          </w:p>
        </w:tc>
      </w:tr>
    </w:tbl>
    <w:bookmarkEnd w:id="344"/>
    <w:bookmarkStart w:id="345" w:name="acts-2-assigned-records-3"/>
    <w:p>
      <w:pPr>
        <w:pStyle w:val="Heading6"/>
      </w:pPr>
      <w:r>
        <w:t xml:space="preserve">acts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["source","exercise-A","creation-A","wA"]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["source","exercise-B","creation-B","wB"]</w:t>
            </w:r>
          </w:p>
        </w:tc>
      </w:tr>
    </w:tbl>
    <w:bookmarkEnd w:id="345"/>
    <w:bookmarkStart w:id="346" w:name="control-2-assigned-records-2"/>
    <w:p>
      <w:pPr>
        <w:pStyle w:val="Heading6"/>
      </w:pPr>
      <w:r>
        <w:t xml:space="preserve">control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["source","exercise-B","wB"]</w:t>
            </w:r>
          </w:p>
        </w:tc>
      </w:tr>
    </w:tbl>
    <w:bookmarkEnd w:id="346"/>
    <w:bookmarkStart w:id="347" w:name="intentions-2-assigned-records-2"/>
    <w:p>
      <w:pPr>
        <w:pStyle w:val="Heading6"/>
      </w:pPr>
      <w:r>
        <w:t xml:space="preserve">intentions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["source","exercise-A","good-A","wA"]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["source","exercise-B","good-B","wB"]</w:t>
            </w:r>
          </w:p>
        </w:tc>
      </w:tr>
    </w:tbl>
    <w:bookmarkEnd w:id="347"/>
    <w:bookmarkStart w:id="348" w:name="selection-2-assigned-records-1"/>
    <w:p>
      <w:pPr>
        <w:pStyle w:val="Heading6"/>
      </w:pPr>
      <w:r>
        <w:t xml:space="preserve">selection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["source","exercise-B","wB"]</w:t>
            </w:r>
          </w:p>
        </w:tc>
      </w:tr>
    </w:tbl>
    <w:p>
      <w:pPr>
        <w:pStyle w:val="BodyText"/>
      </w:pPr>
      <w:r>
        <w:t xml:space="preserve">No records supplied in these categories: relations, roles, realizers, representation, truth, access, warrant, knowledge, capacity, absence, constituents, dependence. Missing records mean “not supplied in this display,” rather than universal nonexistence.</w:t>
      </w:r>
    </w:p>
    <w:bookmarkEnd w:id="348"/>
    <w:bookmarkEnd w:id="349"/>
    <w:bookmarkEnd w:id="350"/>
    <w:bookmarkEnd w:id="351"/>
    <w:bookmarkEnd w:id="352"/>
    <w:p>
      <w:pPr>
        <w:pStyle w:val="Heading1"/>
      </w:pPr>
      <w:r>
        <w:t xml:space="preserve">Appendix A — real-difference-report.md</w:t>
      </w:r>
    </w:p>
    <w:p>
      <w:pPr>
        <w:pStyle w:val="FirstParagraph"/>
      </w:pPr>
      <w:r>
        <w:t xml:space="preserve">Original research file: https:/​/​participation-​6o4.​pages.​dev/​research/​real-​difference-​report.​md</w:t>
      </w:r>
    </w:p>
    <w:bookmarkStart w:id="381" w:name="X8d53801ff91e3031c70c2f140fd0c53862b0ae0"/>
    <w:p>
      <w:pPr>
        <w:pStyle w:val="Heading2"/>
      </w:pPr>
      <w:r>
        <w:t xml:space="preserve">Divine Agency: Simplicity and Free Creation</w:t>
      </w:r>
    </w:p>
    <w:p>
      <w:pPr>
        <w:pStyle w:val="FirstParagraph"/>
      </w:pPr>
      <w:r>
        <w:t xml:space="preserve">Part III of the Participation research atlas.</w:t>
      </w:r>
    </w:p>
    <w:p>
      <w:pPr>
        <w:pStyle w:val="BodyText"/>
      </w:pPr>
      <w:r>
        <w:t xml:space="preserve">Live page: https:/​/​participation-​6o4.​pages.​dev/​real-​difference/​</w:t>
      </w:r>
    </w:p>
    <w:p>
      <w:pPr>
        <w:pStyle w:val="BodyText"/>
      </w:pPr>
      <w:r>
        <w:t xml:space="preserve">Constructive proposal, not a source-existence proof or a definition of doctrine.</w:t>
      </w:r>
    </w:p>
    <w:bookmarkStart w:id="353" w:name="divine-action-and-real-difference"/>
    <w:p>
      <w:pPr>
        <w:pStyle w:val="Heading3"/>
      </w:pPr>
      <w:r>
        <w:t xml:space="preserve">00. Divine action and real difference</w:t>
      </w:r>
    </w:p>
    <w:p>
      <w:pPr>
        <w:pStyle w:val="FirstParagraph"/>
      </w:pPr>
      <w:r>
        <w:t xml:space="preserve">CONSTRUCTIVE CONTINUATION</w:t>
      </w:r>
    </w:p>
    <w:p>
      <w:pPr>
        <w:pStyle w:val="BodyText"/>
      </w:pPr>
      <w:r>
        <w:t xml:space="preserve">How can created outcomes and divine intentions differ without making God dependent on creation?</w:t>
      </w:r>
    </w:p>
    <w:p>
      <w:pPr>
        <w:pStyle w:val="BodyText"/>
      </w:pPr>
      <w:hyperlink r:id="rId58">
        <w:r>
          <w:rPr>
            <w:rStyle w:val="Hyperlink"/>
          </w:rPr>
          <w:t xml:space="preserve">Part I</w:t>
        </w:r>
      </w:hyperlink>
      <w:r>
        <w:t xml:space="preserve"> </w:t>
      </w:r>
      <w:r>
        <w:t xml:space="preserve">developed a conditional grammar of participation: finite creatures can depend upon and manifest an underived source without partitioning, exhausting, or completing it.</w:t>
      </w:r>
      <w:r>
        <w:t xml:space="preserve"> </w:t>
      </w:r>
      <w:hyperlink r:id="rId59">
        <w:r>
          <w:rPr>
            <w:rStyle w:val="Hyperlink"/>
          </w:rPr>
          <w:t xml:space="preserve">Part II</w:t>
        </w:r>
      </w:hyperlink>
      <w:r>
        <w:t xml:space="preserve"> </w:t>
      </w:r>
      <w:r>
        <w:t xml:space="preserve">separated the further arguments needed for simplicity, genuine alternatives, intelligent agency, and knowledge. Inexhaustibility alone establishes none of those stronger claims.</w:t>
      </w:r>
    </w:p>
    <w:p>
      <w:pPr>
        <w:pStyle w:val="BodyText"/>
      </w:pPr>
      <w:r>
        <w:t xml:space="preserve">This page asks how creation can be an actual, intentional action of God: not merely something that happens while God possesses the power to cause it. Its central distinction is simple: being determinate is not the same as being made determinate by something else. An underived source need not be featureless. But calling its action determinate does not yet explain why it is this action rather than another.</w:t>
      </w:r>
    </w:p>
    <w:p>
      <w:pPr>
        <w:pStyle w:val="BodyText"/>
      </w:pPr>
      <w:r>
        <w:t xml:space="preserve">How can God freely and knowingly create this world rather than another while God’s intrinsic actuality, his own being, remains the same across those alternatives?</w:t>
      </w:r>
    </w:p>
    <w:p>
      <w:pPr>
        <w:pStyle w:val="BodyText"/>
      </w:pPr>
      <w:r>
        <w:t xml:space="preserve">We distinguish what realizes a difference, what explains it, what could have differed, how it becomes known, and what good it fulfills. Participation connects those questions through real received possession; it does not answer all of them by itself. The underived source and its intrinsic invariance remain independently argued commitments. The answer developed here is a constructive proposal, not a seventh proof of simplicity or a deduction of Christianity.</w:t>
      </w:r>
    </w:p>
    <w:bookmarkEnd w:id="353"/>
    <w:bookmarkStart w:id="354" w:name="what-differs-and-what-explains-it"/>
    <w:p>
      <w:pPr>
        <w:pStyle w:val="Heading3"/>
      </w:pPr>
      <w:r>
        <w:t xml:space="preserve">01. What differs, and what explains it?</w:t>
      </w:r>
    </w:p>
    <w:p>
      <w:pPr>
        <w:pStyle w:val="FirstParagraph"/>
      </w:pPr>
      <w:r>
        <w:t xml:space="preserve">A METHOD FOR TESTING EXPLANATIONS</w:t>
      </w:r>
    </w:p>
    <w:p>
      <w:pPr>
        <w:pStyle w:val="BodyText"/>
      </w:pPr>
      <w:r>
        <w:t xml:space="preserve">A difference in meaning, an intrinsic constituent, and a real relation require different explanations.</w:t>
      </w:r>
    </w:p>
    <w:p>
      <w:pPr>
        <w:pStyle w:val="BodyText"/>
      </w:pPr>
      <w:r>
        <w:t xml:space="preserve">Ask four questions: What differs? Whose feature or relationship is it? What explains it? How could it be known? A wax impression has a shape. A giver has an intention. A gift enters a relationship. A reader understands a sign. Explaining one fact does not automatically explain the others.</w:t>
      </w:r>
    </w:p>
    <w:p>
      <w:pPr>
        <w:pStyle w:val="BodyText"/>
      </w:pPr>
      <w:r>
        <w:t xml:space="preserve">Different predicates need not require different concrete realizers. Wisdom and power differ in meaning; it does not follow merely from that difference that they are realized by distinct parts in God. This blocks an invalid inference, rather than proving that one actuality does realize every divine perfection. That positive claim needs an account of the perfections and their compatible realization.</w:t>
      </w:r>
    </w:p>
    <w:p>
      <w:pPr>
        <w:pStyle w:val="BodyText"/>
      </w:pPr>
      <w:r>
        <w:t xml:space="preserve">A real relation is likewise more than a convenient description. A gift’s direction toward this recipient can belong to the full action without the recipient supplying the giver with its power. But it remains necessary to distinguish the action’s identity, its explanation, and the agent’s control. A difference in recipients alone cannot explain different intentions.</w:t>
      </w:r>
    </w:p>
    <w:p>
      <w:pPr>
        <w:pStyle w:val="BodyText"/>
      </w:pPr>
      <w:r>
        <w:t xml:space="preserve">Intrinsic concerns something’s own being; relational concerns it in relation to another. A primitive intrinsic difference, if coherent, need not automatically be a proper part. A relational difference need not automatically be intentional. The method therefore classifies differences before drawing conclusions from them; it does not make either category harmless by definition.</w:t>
      </w:r>
    </w:p>
    <w:bookmarkEnd w:id="354"/>
    <w:bookmarkStart w:id="355" w:name="change-the-facts-not-just-the-labels"/>
    <w:p>
      <w:pPr>
        <w:pStyle w:val="Heading3"/>
      </w:pPr>
      <w:r>
        <w:t xml:space="preserve">02. Change the facts, not just the labels</w:t>
      </w:r>
    </w:p>
    <w:p>
      <w:pPr>
        <w:pStyle w:val="FirstParagraph"/>
      </w:pPr>
      <w:r>
        <w:t xml:space="preserve">EXAMPLE INSPECTOR · NOT A PROOF</w:t>
      </w:r>
    </w:p>
    <w:p>
      <w:pPr>
        <w:pStyle w:val="BodyText"/>
      </w:pPr>
      <w:r>
        <w:t xml:space="preserve">Six comparisons expose what an explanation must supply.</w:t>
      </w:r>
    </w:p>
    <w:p>
      <w:pPr>
        <w:pStyle w:val="BodyText"/>
      </w:pPr>
      <w:r>
        <w:t xml:space="preserve">The finite cases establish distinctions, rather than proving that God remains unchanged. A lamp can keep the same radiant power while other properties change; a human’s intentions can differ intrinsically. The advanced case expressly assumes a disputed relational account of divine action and shows what remains to be defended.</w:t>
      </w:r>
    </w:p>
    <w:p>
      <w:pPr>
        <w:pStyle w:val="BodyText"/>
      </w:pPr>
      <w:r>
        <w:t xml:space="preserve">The six cases and their assigned facts are described in the</w:t>
      </w:r>
      <w:r>
        <w:t xml:space="preserve"> </w:t>
      </w:r>
      <w:hyperlink r:id="rId188">
        <w:r>
          <w:rPr>
            <w:rStyle w:val="Hyperlink"/>
          </w:rPr>
          <w:t xml:space="preserve">formal audit</w:t>
        </w:r>
      </w:hyperlink>
      <w:r>
        <w:t xml:space="preserve">. The rest of this article is readable without JavaScript.</w:t>
      </w:r>
    </w:p>
    <w:bookmarkEnd w:id="355"/>
    <w:bookmarkStart w:id="356" w:name="an-action-is-more-than-its-outcome"/>
    <w:p>
      <w:pPr>
        <w:pStyle w:val="Heading3"/>
      </w:pPr>
      <w:r>
        <w:t xml:space="preserve">03. An action is more than its outcome</w:t>
      </w:r>
    </w:p>
    <w:p>
      <w:pPr>
        <w:pStyle w:val="FirstParagraph"/>
      </w:pPr>
      <w:r>
        <w:t xml:space="preserve">COMPARATIVE ARGUMENT + CONDITIONAL PROPOSAL</w:t>
      </w:r>
    </w:p>
    <w:p>
      <w:pPr>
        <w:pStyle w:val="BodyText"/>
      </w:pPr>
      <w:r>
        <w:t xml:space="preserve">The same physical result can serve different intentions. Having a power does not mean using it.</w:t>
      </w:r>
    </w:p>
    <w:p>
      <w:pPr>
        <w:pStyle w:val="Compact"/>
        <w:numPr>
          <w:ilvl w:val="0"/>
          <w:numId w:val="1052"/>
        </w:numPr>
      </w:pPr>
      <w:r>
        <w:t xml:space="preserve">A blanket can relieve cold through an intentional gift or an accidental arrival. Benefit alone does not establish that someone intended it.</w:t>
      </w:r>
    </w:p>
    <w:p>
      <w:pPr>
        <w:pStyle w:val="Compact"/>
        <w:numPr>
          <w:ilvl w:val="0"/>
          <w:numId w:val="1052"/>
        </w:numPr>
      </w:pPr>
      <w:r>
        <w:t xml:space="preserve">Two gifts with the same physical result can differ: one relieves cold; another also acknowledges dignity. The outcome does not tell us the whole intention.</w:t>
      </w:r>
    </w:p>
    <w:p>
      <w:pPr>
        <w:pStyle w:val="Compact"/>
        <w:numPr>
          <w:ilvl w:val="0"/>
          <w:numId w:val="1052"/>
        </w:numPr>
      </w:pPr>
      <w:r>
        <w:t xml:space="preserve">A person can possess a capacity without using it. Deliberately refraining requires capacity, control, and purpose; an absent effect establishes none of these.</w:t>
      </w:r>
    </w:p>
    <w:p>
      <w:pPr>
        <w:pStyle w:val="Compact"/>
        <w:numPr>
          <w:ilvl w:val="0"/>
          <w:numId w:val="1052"/>
        </w:numPr>
      </w:pPr>
      <w:r>
        <w:t xml:space="preserve">A benefit can be real before recognition. Conversely, a true belief can be a lucky guess. Receiving something and knowing it have different conditions.</w:t>
      </w:r>
    </w:p>
    <w:p>
      <w:pPr>
        <w:pStyle w:val="FirstParagraph"/>
      </w:pPr>
      <w:r>
        <w:t xml:space="preserve">An adequate account preserves what is produced, what the agent intends and does, what the recipient receives, and how someone knows it. The examples expose these different explanatory jobs. They do not show that a finite agent’s changing psychology can be transferred to God.</w:t>
      </w:r>
    </w:p>
    <w:p>
      <w:pPr>
        <w:pStyle w:val="BodyText"/>
      </w:pPr>
      <w:r>
        <w:t xml:space="preserve">The philosophical opening is a distinction between the agent’s intrinsic power and the complete intentional action. If an action’s direction is genuinely originated and controlled by the agent, a difference in that direction need not be an actuality supplied by its effect. The action can explain the effect while the effect helps specify which complete action occurred. Specification and productive causation run in different directions.</w:t>
      </w:r>
    </w:p>
    <w:p>
      <w:pPr>
        <w:pStyle w:val="BodyText"/>
      </w:pPr>
      <w:r>
        <w:t xml:space="preserve">This establishes a candidate structure, not its divine realization. The remaining bridge is substantial: an intelligent source must be able to originate and know such a determinate direction without acquiring a new intrinsic state. The strongest rival grants libertarian agency but locates alternative choices in different intrinsic states, even while denying that those states are proper parts.</w:t>
      </w:r>
    </w:p>
    <w:bookmarkEnd w:id="356"/>
    <w:bookmarkStart w:id="357" w:name="a-power-is-not-yet-a-particular-action"/>
    <w:p>
      <w:pPr>
        <w:pStyle w:val="Heading3"/>
      </w:pPr>
      <w:r>
        <w:t xml:space="preserve">04. A power is not yet a particular action</w:t>
      </w:r>
    </w:p>
    <w:p>
      <w:pPr>
        <w:pStyle w:val="FirstParagraph"/>
      </w:pPr>
      <w:r>
        <w:t xml:space="preserve">DISPUTED CONSTRUCTIVE PROPOSAL</w:t>
      </w:r>
    </w:p>
    <w:p>
      <w:pPr>
        <w:pStyle w:val="BodyText"/>
      </w:pPr>
      <w:r>
        <w:t xml:space="preserve">A complete account must explain alternatives, reasons, choice, and successful production.</w:t>
      </w:r>
    </w:p>
    <w:p>
      <w:pPr>
        <w:pStyle w:val="BodyText"/>
      </w:pPr>
      <w:r>
        <w:t xml:space="preserve">Four steps must remain distinct. Possibility identifies real alternatives; reasons make an alternative intelligible or good; choice explains the agent’s actual direction toward it; efficacy explains its realization. An indeterminate process can branch without choosing. A rational plan can remain unexecuted. Divine agency requires intelligent authorship as well as power.</w:t>
      </w:r>
    </w:p>
    <w:p>
      <w:pPr>
        <w:pStyle w:val="BodyText"/>
      </w:pPr>
      <w:r>
        <w:t xml:space="preserve">The proposed bridge is that a complete intentional action need not be fixed by the agent’s intrinsic state alone, provided its direction is a real relation originated and controlled by that agent. God’s being would remain intrinsically complete, while the full fact that God freely creates this world would include a contingent direction toward this creation. This commits the account to a real intentional explanation; it cannot be satisfied by assigning different world labels to an invariant power.</w:t>
      </w:r>
    </w:p>
    <w:p>
      <w:pPr>
        <w:pStyle w:val="BodyText"/>
      </w:pPr>
      <w:r>
        <w:t xml:space="preserve">The motivation is that the complete identity of an action includes its intentional object and explanatory direction, not only a description of the agent in isolation. Requiring every such difference to be realized by a different intrinsic state is a substantive theory of intention, not a truth contained in the word</w:t>
      </w:r>
      <w:r>
        <w:t xml:space="preserve"> </w:t>
      </w:r>
      <w:r>
        <w:t xml:space="preserve">“</w:t>
      </w:r>
      <w:r>
        <w:t xml:space="preserve">action.</w:t>
      </w:r>
      <w:r>
        <w:t xml:space="preserve">”</w:t>
      </w:r>
      <w:r>
        <w:t xml:space="preserve"> </w:t>
      </w:r>
      <w:r>
        <w:t xml:space="preserve">Finite examples establish that explanatory and identifying relations can differ; they do not establish that divine intention is relational throughout.</w:t>
      </w:r>
    </w:p>
    <w:p>
      <w:pPr>
        <w:pStyle w:val="BodyText"/>
      </w:pPr>
      <w:r>
        <w:t xml:space="preserve">Reasons can explain a choice without uniquely necessitating it. The recipient’s possible good supplies a reason for generosity without supplying a need in God. The agent, rather than a prior selector or an impersonal lottery, originates the action for that reason. Whether this form of rational explanation is sufficient, and whether its intentional direction can remain relational throughout, are the two principal disputes.</w:t>
      </w:r>
    </w:p>
    <w:p>
      <w:pPr>
        <w:pStyle w:val="BodyText"/>
      </w:pPr>
      <w:r>
        <w:t xml:space="preserve">Modal collapse follows if God’s necessary intrinsic actuality necessarily entails this complete efficacious intention. The proposal denies that further entailment. Necessarily, if God efficaciously intends this creation, it exists; it does not follow that God necessarily so intends. Denying the entailment blocks one inference to collapse. The positive agency bridge must still explain how the contingent intention belongs to God’s control.</w:t>
      </w:r>
    </w:p>
    <w:p>
      <w:pPr>
        <w:pStyle w:val="BodyText"/>
      </w:pPr>
      <w:r>
        <w:t xml:space="preserve">Including an effect in the full description of an action does not make it the cause of the intention. Conversely, saying only</w:t>
      </w:r>
      <w:r>
        <w:t xml:space="preserve"> </w:t>
      </w:r>
      <w:r>
        <w:t xml:space="preserve">“</w:t>
      </w:r>
      <w:r>
        <w:t xml:space="preserve">God is Creator because a world exists</w:t>
      </w:r>
      <w:r>
        <w:t xml:space="preserve">”</w:t>
      </w:r>
      <w:r>
        <w:t xml:space="preserve"> </w:t>
      </w:r>
      <w:r>
        <w:t xml:space="preserve">offers an outcome-dependent title without an account of choice. These two errors delimit the proposal.</w:t>
      </w:r>
    </w:p>
    <w:p>
      <w:pPr>
        <w:pStyle w:val="BodyText"/>
      </w:pPr>
      <w:r>
        <w:t xml:space="preserve">The notation makes no extra promiseS(g,e,p) abbreviates: agent g actually performs and controls action e, intending p. T(e,x) says the action effectively produces x as intended. S records agency; it does not derive intelligence or freedom from existence. T records success; intention alone does not produce an outcome. Neither symbol explains the metaphysical possibility of the proposed intentional relation.</w:t>
      </w:r>
    </w:p>
    <w:p>
      <w:pPr>
        <w:pStyle w:val="BodyText"/>
      </w:pPr>
      <w:r>
        <w:t xml:space="preserve">The no-creation alternativeNo creation means no created actuality, rather than</w:t>
      </w:r>
      <w:r>
        <w:t xml:space="preserve"> </w:t>
      </w:r>
      <w:r>
        <w:t xml:space="preserve">“</w:t>
      </w:r>
      <w:r>
        <w:t xml:space="preserve">nothing</w:t>
      </w:r>
      <w:r>
        <w:t xml:space="preserve">”</w:t>
      </w:r>
      <w:r>
        <w:t xml:space="preserve"> </w:t>
      </w:r>
      <w:r>
        <w:t xml:space="preserve">as an object God makes. Deliberate refraining must be possible if creation is gratuitous; non-exhaustion alone does not establish that possibility. It also does not erase the eternal personal life of Father, Son, and Spirit. Their relations are not contingent exercises of creative power.</w:t>
      </w:r>
    </w:p>
    <w:bookmarkEnd w:id="357"/>
    <w:bookmarkStart w:id="358" w:name="Xc2335a62c78f32a0be4bc81d2d466ab3219120d"/>
    <w:p>
      <w:pPr>
        <w:pStyle w:val="Heading3"/>
      </w:pPr>
      <w:r>
        <w:t xml:space="preserve">05. Knowing the actual without learning from it</w:t>
      </w:r>
    </w:p>
    <w:p>
      <w:pPr>
        <w:pStyle w:val="FirstParagraph"/>
      </w:pPr>
      <w:r>
        <w:t xml:space="preserve">PRODUCTIVE KNOWLEDGE + A FURTHER COGNITIVE BRIDGE</w:t>
      </w:r>
    </w:p>
    <w:p>
      <w:pPr>
        <w:pStyle w:val="BodyText"/>
      </w:pPr>
      <w:r>
        <w:t xml:space="preserve">A truth’s dependence on an event is not automatically the knower’s acquisition of a cognitive state.</w:t>
      </w:r>
    </w:p>
    <w:p>
      <w:pPr>
        <w:pStyle w:val="BodyText"/>
      </w:pPr>
      <w:r>
        <w:t xml:space="preserve">Distinguish a real received good, its meaningful expression, someone’s access to it, and warranted recognition. An unconscious patient can benefit from care; a meaningful sign can remain unread. A cause can sustain an event without thereby having cognitive acquaintance with it. Neither reception nor causal intimacy establishes knowledge by itself.</w:t>
      </w:r>
    </w:p>
    <w:p>
      <w:pPr>
        <w:pStyle w:val="BodyText"/>
      </w:pPr>
      <w:r>
        <w:t xml:space="preserve">For effects fully specified by God’s efficacious intention, the positive proposal is productive knowledge. An intelligent source knows what it does through awareness of its actual controlled action and what that action infallibly produces. It need not inspect the result in order to learn whether its intention succeeded. This requires actual intention, adequate self-awareness, and transparency of the action’s efficacy. Knowing every possible plan does not yet identify the actual plan.</w:t>
      </w:r>
    </w:p>
    <w:p>
      <w:pPr>
        <w:pStyle w:val="BodyText"/>
      </w:pPr>
      <w:r>
        <w:t xml:space="preserve">The claim that a particular contingent choice actually occurs is true only if that choice occurs. But truth conditions are not automatically cognitive actualizers: the fact that makes a statement true need not send information that completes God’s intellect. This distinguishes two explanatory arrows. It does not by itself show how an intrinsically invariant intellect knows different actual outcomes.</w:t>
      </w:r>
    </w:p>
    <w:p>
      <w:pPr>
        <w:pStyle w:val="BodyText"/>
      </w:pPr>
      <w:r>
        <w:t xml:space="preserve">Free secondary acts make the harder case. Sustaining a creature’s power is not the same as supplying its intention, and knowledge of God’s creative intention cannot simply stand in for knowledge of whatever the creature freely chooses. The proposed additional bridge is direct, non-receptive awareness of actual finite acts: the underived intellect knows their determinate actuality without acquiring representations caused by them. This is a positive cognitive commitment, not a consequence of merely renaming causal presence as awareness.</w:t>
      </w:r>
    </w:p>
    <w:p>
      <w:pPr>
        <w:pStyle w:val="BodyText"/>
      </w:pPr>
      <w:r>
        <w:t xml:space="preserve">The bridge must cover the actual content of choices, omissions, and relations, while preserving their creaturely authorship. Foreknowledge further requires an account of access to temporal actuality; factivity alone establishes no timeless standpoint. Comprehensive omniscience is received in Catholic theology. Its philosophical explanation remains conditional on these additional cognitive and temporal commitments.</w:t>
      </w:r>
    </w:p>
    <w:p>
      <w:pPr>
        <w:pStyle w:val="BodyText"/>
      </w:pPr>
      <w:r>
        <w:t xml:space="preserve">Knowing a wrongful intention is not intending its moral defect. An act’s positive actuality, the creature’s exercise, its disorder, God’s permission, and divine knowledge have different explanatory roles. A theory that treats them as one causation has lost the distinction it needed to preserve.</w:t>
      </w:r>
    </w:p>
    <w:bookmarkEnd w:id="358"/>
    <w:bookmarkStart w:id="367" w:name="X77040adeb479227154b7d40a08c5c90c19086d9"/>
    <w:p>
      <w:pPr>
        <w:pStyle w:val="Heading3"/>
      </w:pPr>
      <w:r>
        <w:t xml:space="preserve">06. Different thinkers answer different questions</w:t>
      </w:r>
    </w:p>
    <w:p>
      <w:pPr>
        <w:pStyle w:val="FirstParagraph"/>
      </w:pPr>
      <w:r>
        <w:t xml:space="preserve">CLAIM, INTERPRETATION, AND LIMIT KEPT DISTINCT</w:t>
      </w:r>
    </w:p>
    <w:p>
      <w:pPr>
        <w:pStyle w:val="BodyText"/>
      </w:pPr>
      <w:r>
        <w:t xml:space="preserve">These are resources and critical interlocutors, not co-authors of a modern system.</w:t>
      </w:r>
    </w:p>
    <w:p>
      <w:pPr>
        <w:pStyle w:val="BodyText"/>
      </w:pPr>
      <w:r>
        <w:t xml:space="preserve">Augustine’s divine ideas help explain creaturely intelligibility without external standards; Anselm helps distinguish rational freedom from indeterminacy; Scotus insists upon genuine contingency rather than the mere finitude of an effect. Przywara preserves likeness within greater unlikeness. Their contributions on the earlier pages continue to constrain this proposal.</w:t>
      </w:r>
    </w:p>
    <w:bookmarkStart w:id="359" w:name="bonaventure-fullness-not-featurelessness"/>
    <w:p>
      <w:pPr>
        <w:pStyle w:val="Heading4"/>
      </w:pPr>
      <w:r>
        <w:t xml:space="preserve">Bonaventure: Fullness, not featurelessness</w:t>
      </w:r>
    </w:p>
    <w:p>
      <w:pPr>
        <w:pStyle w:val="FirstParagraph"/>
      </w:pPr>
      <w:r>
        <w:t xml:space="preserve">Simplicity concerns the perfection by which the source is actual, not a poverty of intelligible content. A distinction by personal origin is not the same as a difference produced by adding a constituent. Finite proportion can also contribute positively to a creature’s beauty.</w:t>
      </w:r>
    </w:p>
    <w:p>
      <w:pPr>
        <w:pStyle w:val="BodyText"/>
      </w:pPr>
      <w:r>
        <w:t xml:space="preserve">“</w:t>
      </w:r>
      <w:r>
        <w:t xml:space="preserve">Where supreme simplicity is understood, supreme actuality must be understood.</w:t>
      </w:r>
      <w:r>
        <w:t xml:space="preserve">”</w:t>
      </w:r>
    </w:p>
    <w:p>
      <w:pPr>
        <w:pStyle w:val="BodyText"/>
      </w:pPr>
      <w:r>
        <w:t xml:space="preserve">I Sentences, q. 1, ad 1; inherited manuscript working translation.</w:t>
      </w:r>
    </w:p>
    <w:p>
      <w:pPr>
        <w:pStyle w:val="BodyText"/>
      </w:pPr>
      <w:r>
        <w:t xml:space="preserve">Locus: I Sentences d. 8, p. II, a. un., qq. 1–2; Itinerarium II.10</w:t>
      </w:r>
    </w:p>
    <w:p>
      <w:pPr>
        <w:pStyle w:val="BodyText"/>
      </w:pPr>
      <w:r>
        <w:t xml:space="preserve">Limit: The communication argument here concerns the Trinity. It does not necessitate creation or demonstrate the proposed account of free divine action.</w:t>
      </w:r>
    </w:p>
    <w:p>
      <w:pPr>
        <w:pStyle w:val="BodyText"/>
      </w:pPr>
      <w:r>
        <w:t xml:space="preserve">Source: https:/​/​plato.​stanford.​edu/​entries/​bonaventure/​</w:t>
      </w:r>
    </w:p>
    <w:bookmarkEnd w:id="359"/>
    <w:bookmarkStart w:id="360" w:name="X2cd919366691b2fb6dae9d80d5ffdb1247db414"/>
    <w:p>
      <w:pPr>
        <w:pStyle w:val="Heading4"/>
      </w:pPr>
      <w:r>
        <w:t xml:space="preserve">Pseudo-Dionysius: Different impressions; one source</w:t>
      </w:r>
    </w:p>
    <w:p>
      <w:pPr>
        <w:pStyle w:val="FirstParagraph"/>
      </w:pPr>
      <w:r>
        <w:t xml:space="preserve">The seal comparison locates variation partly in recipients. Exemplars help explain intelligible differences; God’s knowledge through their cause addresses a further question. These are three explanations to distinguish, rather than interchangeable proofs.</w:t>
      </w:r>
    </w:p>
    <w:p>
      <w:pPr>
        <w:pStyle w:val="BodyText"/>
      </w:pPr>
      <w:r>
        <w:t xml:space="preserve">“</w:t>
      </w:r>
      <w:r>
        <w:t xml:space="preserve">the Mind of God gains not Its knowledge of things from those things</w:t>
      </w:r>
      <w:r>
        <w:t xml:space="preserve">”</w:t>
      </w:r>
    </w:p>
    <w:p>
      <w:pPr>
        <w:pStyle w:val="BodyText"/>
      </w:pPr>
      <w:r>
        <w:t xml:space="preserve">Divine Names VII.2, C. E. Rolt (1920), consulted at CCEL.</w:t>
      </w:r>
    </w:p>
    <w:p>
      <w:pPr>
        <w:pStyle w:val="BodyText"/>
      </w:pPr>
      <w:r>
        <w:t xml:space="preserve">Locus: Divine Names II.5; V.8; VII.2–3; IX.6–7</w:t>
      </w:r>
    </w:p>
    <w:p>
      <w:pPr>
        <w:pStyle w:val="BodyText"/>
      </w:pPr>
      <w:r>
        <w:t xml:space="preserve">Limit: A seal is patterned; the analogy does not establish divine simplicity. Causal knowledge does not alone settle counterfactual selection or all secondary free decisions.</w:t>
      </w:r>
    </w:p>
    <w:p>
      <w:pPr>
        <w:pStyle w:val="BodyText"/>
      </w:pPr>
      <w:r>
        <w:t xml:space="preserve">Source: https:/​/​ccel.​org/​ccel/​rolt/​dionysius/​dionysius.​iv.​viii.​html</w:t>
      </w:r>
    </w:p>
    <w:bookmarkEnd w:id="360"/>
    <w:bookmarkStart w:id="361" w:name="X8a50d7d604854669e82f4b1f4cc4e137db3e39c"/>
    <w:p>
      <w:pPr>
        <w:pStyle w:val="Heading4"/>
      </w:pPr>
      <w:r>
        <w:t xml:space="preserve">John Scotus Eriugena: The frontier of manifestation</w:t>
      </w:r>
    </w:p>
    <w:p>
      <w:pPr>
        <w:pStyle w:val="FirstParagraph"/>
      </w:pPr>
      <w:r>
        <w:t xml:space="preserve">Theophany—God’s manifestation—gives created expression genuine metaphysical importance. Yet the strong identity language and</w:t>
      </w:r>
      <w:r>
        <w:t xml:space="preserve"> </w:t>
      </w:r>
      <w:r>
        <w:t xml:space="preserve">“</w:t>
      </w:r>
      <w:r>
        <w:t xml:space="preserve">as it were</w:t>
      </w:r>
      <w:r>
        <w:t xml:space="preserve">”</w:t>
      </w:r>
      <w:r>
        <w:t xml:space="preserve"> </w:t>
      </w:r>
      <w:r>
        <w:t xml:space="preserve">divine self-creation make him a stress case: does expression disclose fullness, or supply God with a determination he lacked?</w:t>
      </w:r>
    </w:p>
    <w:p>
      <w:pPr>
        <w:pStyle w:val="BodyText"/>
      </w:pPr>
      <w:r>
        <w:t xml:space="preserve">Inherited Sheldon-Williams/O’Meara translation register; fresh specialist comparison with Dermot Moran’s SEP entry.</w:t>
      </w:r>
    </w:p>
    <w:p>
      <w:pPr>
        <w:pStyle w:val="BodyText"/>
      </w:pPr>
      <w:r>
        <w:t xml:space="preserve">Locus: Periphyseon I.446D; I.454B–C; II.589B; III.678C–D; III.689B</w:t>
      </w:r>
    </w:p>
    <w:p>
      <w:pPr>
        <w:pStyle w:val="BodyText"/>
      </w:pPr>
      <w:r>
        <w:t xml:space="preserve">Limit: The proposed use of this resource preserves real created disclosure while rejecting completion of God by the world. This selects and, where needed, corrects; it does not harmonize away his stronger claims.</w:t>
      </w:r>
    </w:p>
    <w:p>
      <w:pPr>
        <w:pStyle w:val="BodyText"/>
      </w:pPr>
      <w:r>
        <w:t xml:space="preserve">Source: https:/​/​plato.​stanford.​edu/​entries/​scottus-​eriugena/​</w:t>
      </w:r>
    </w:p>
    <w:bookmarkEnd w:id="361"/>
    <w:bookmarkStart w:id="362" w:name="X6699f37ee38881232a6e0c7ab6b8ccfa05c6ebc"/>
    <w:p>
      <w:pPr>
        <w:pStyle w:val="Heading4"/>
      </w:pPr>
      <w:r>
        <w:t xml:space="preserve">Maximus the Confessor: Intelligibility is not yet realization</w:t>
      </w:r>
    </w:p>
    <w:p>
      <w:pPr>
        <w:pStyle w:val="FirstParagraph"/>
      </w:pPr>
      <w:r>
        <w:t xml:space="preserve">One Logos and differentiated logoi—the intelligible principles of creatures—help explain an intelligible order without independent Forms. Creatures’ coming to exist in time must still be distinguished from their intelligible principles and God’s knowledge.</w:t>
      </w:r>
    </w:p>
    <w:p>
      <w:pPr>
        <w:pStyle w:val="BodyText"/>
      </w:pPr>
      <w:r>
        <w:t xml:space="preserve">Provisional Greek transcription reconsulted; collation with Nicholas Constas’s Ambigua (2014) remains outstanding.</w:t>
      </w:r>
    </w:p>
    <w:p>
      <w:pPr>
        <w:pStyle w:val="BodyText"/>
      </w:pPr>
      <w:r>
        <w:t xml:space="preserve">Locus: Ambiguum 7; PG 91, 1077–1081; 1085–1088</w:t>
      </w:r>
    </w:p>
    <w:p>
      <w:pPr>
        <w:pStyle w:val="BodyText"/>
      </w:pPr>
      <w:r>
        <w:t xml:space="preserve">Limit: No modern relational theory of free divine action is attributed to Maximus. Logoi do not, merely by being determinate, actualize a world.</w:t>
      </w:r>
    </w:p>
    <w:p>
      <w:pPr>
        <w:pStyle w:val="BodyText"/>
      </w:pPr>
      <w:r>
        <w:t xml:space="preserve">Source: https:/​/​raw.​githubusercontent.​com/​robertvsiii/​maximus-​confessor/​5ef8d8b33bb7e16576f4b5445db7ee07541aff9f/​texts/​maximus/​maximus_​confessor.​ambigua_​iohannem.​tess</w:t>
      </w:r>
    </w:p>
    <w:bookmarkEnd w:id="362"/>
    <w:bookmarkStart w:id="363" w:name="X5e95d75dd7b2bde515faf7ce6d1cb0743f24965"/>
    <w:p>
      <w:pPr>
        <w:pStyle w:val="Heading4"/>
      </w:pPr>
      <w:r>
        <w:t xml:space="preserve">Gregory of Nyssa: An image’s mode is its own</w:t>
      </w:r>
    </w:p>
    <w:p>
      <w:pPr>
        <w:pStyle w:val="FirstParagraph"/>
      </w:pPr>
      <w:r>
        <w:t xml:space="preserve">Likeness in attributes does not erase the difference between created and uncreated nature. Received rational life includes voluntary virtue: dependence upon the ultimate source need not make created agency counterfeit.</w:t>
      </w:r>
    </w:p>
    <w:p>
      <w:pPr>
        <w:pStyle w:val="BodyText"/>
      </w:pPr>
      <w:r>
        <w:t xml:space="preserve">“</w:t>
      </w:r>
      <w:r>
        <w:t xml:space="preserve">virtue is a voluntary thing, subject to no dominion</w:t>
      </w:r>
      <w:r>
        <w:t xml:space="preserve">”</w:t>
      </w:r>
    </w:p>
    <w:p>
      <w:pPr>
        <w:pStyle w:val="BodyText"/>
      </w:pPr>
      <w:r>
        <w:t xml:space="preserve">Moore/Wilson, NPNF, second series V; primary translation reconsulted.</w:t>
      </w:r>
    </w:p>
    <w:p>
      <w:pPr>
        <w:pStyle w:val="BodyText"/>
      </w:pPr>
      <w:r>
        <w:t xml:space="preserve">Locus: On the Making of Man XVI</w:t>
      </w:r>
    </w:p>
    <w:p>
      <w:pPr>
        <w:pStyle w:val="BodyText"/>
      </w:pPr>
      <w:r>
        <w:t xml:space="preserve">Limit: This does not derive divine free agency or establish every claim about infinity and epektasis. The anthropology contains further speculative commitments.</w:t>
      </w:r>
    </w:p>
    <w:p>
      <w:pPr>
        <w:pStyle w:val="BodyText"/>
      </w:pPr>
      <w:r>
        <w:t xml:space="preserve">Source: https:/​/​raw.​githubusercontent.​com/​standardebooks/​gregory-​of-​nyssa_​on-​the-​making-​of-​man_​william-​moore_​henry-​austin-​wilson/​master/​src/​epub/​text/​chapter-​16.​xhtml</w:t>
      </w:r>
    </w:p>
    <w:bookmarkEnd w:id="363"/>
    <w:bookmarkStart w:id="364" w:name="X79fdf6ce785fc9d1b69205fa0564ea63ac8674c"/>
    <w:p>
      <w:pPr>
        <w:pStyle w:val="Heading4"/>
      </w:pPr>
      <w:r>
        <w:t xml:space="preserve">Gregory Nazianzen: Do not force relation into the wrong category</w:t>
      </w:r>
    </w:p>
    <w:p>
      <w:pPr>
        <w:pStyle w:val="FirstParagraph"/>
      </w:pPr>
      <w:r>
        <w:t xml:space="preserve">“</w:t>
      </w:r>
      <w:r>
        <w:t xml:space="preserve">Father</w:t>
      </w:r>
      <w:r>
        <w:t xml:space="preserve">”</w:t>
      </w:r>
      <w:r>
        <w:t xml:space="preserve"> </w:t>
      </w:r>
      <w:r>
        <w:t xml:space="preserve">names neither a separate essence nor an action that produces a creature. Gregory’s category correction makes real personal distinction philosophically significant without treating persons as pieces of a divine whole.</w:t>
      </w:r>
    </w:p>
    <w:p>
      <w:pPr>
        <w:pStyle w:val="BodyText"/>
      </w:pPr>
      <w:r>
        <w:t xml:space="preserve">“</w:t>
      </w:r>
      <w:r>
        <w:t xml:space="preserve">it is the name of the Relation in which the Father stands to the Son, and the Son to the Father.</w:t>
      </w:r>
      <w:r>
        <w:t xml:space="preserve">”</w:t>
      </w:r>
    </w:p>
    <w:p>
      <w:pPr>
        <w:pStyle w:val="BodyText"/>
      </w:pPr>
      <w:r>
        <w:t xml:space="preserve">Oration 29 §16, Browne/Swallow, NPNF, second series VII; directly consulted at CCEL.</w:t>
      </w:r>
    </w:p>
    <w:p>
      <w:pPr>
        <w:pStyle w:val="BodyText"/>
      </w:pPr>
      <w:r>
        <w:t xml:space="preserve">Locus: Oration 29 §§6–8, 16</w:t>
      </w:r>
    </w:p>
    <w:p>
      <w:pPr>
        <w:pStyle w:val="BodyText"/>
      </w:pPr>
      <w:r>
        <w:t xml:space="preserve">Limit: Begotten personal origin is not created existential dependence. This theological case does not prove that contingent creative direction can be relationally specified.</w:t>
      </w:r>
    </w:p>
    <w:p>
      <w:pPr>
        <w:pStyle w:val="BodyText"/>
      </w:pPr>
      <w:r>
        <w:t xml:space="preserve">Source: https:/​/​ccel.​org/​ccel/​schaff/​npnf207/​npnf207.​iii.​xv.​html</w:t>
      </w:r>
    </w:p>
    <w:bookmarkEnd w:id="364"/>
    <w:bookmarkStart w:id="365" w:name="X15b696864e35e6f5aba2cd3da459f50b16b9759"/>
    <w:p>
      <w:pPr>
        <w:pStyle w:val="Heading4"/>
      </w:pPr>
      <w:r>
        <w:t xml:space="preserve">Joseph Ratzinger / Benedict XVI: Relation that preserves the person</w:t>
      </w:r>
    </w:p>
    <w:p>
      <w:pPr>
        <w:pStyle w:val="FirstParagraph"/>
      </w:pPr>
      <w:r>
        <w:t xml:space="preserve">Ratzinger calls for a critical metaphysical evaluation of relation. Communion can preserve identity; God as universal source can be understood together with Logos and personal love. The inquiry therefore concerns concrete persons and their fulfillment, as well as abstract causal structure.</w:t>
      </w:r>
    </w:p>
    <w:p>
      <w:pPr>
        <w:pStyle w:val="BodyText"/>
      </w:pPr>
      <w:r>
        <w:t xml:space="preserve">“</w:t>
      </w:r>
      <w:r>
        <w:t xml:space="preserve">true openness does not mean loss of individual identity</w:t>
      </w:r>
      <w:r>
        <w:t xml:space="preserve">”</w:t>
      </w:r>
    </w:p>
    <w:p>
      <w:pPr>
        <w:pStyle w:val="BodyText"/>
      </w:pPr>
      <w:r>
        <w:t xml:space="preserve">Caritas in veritate §54; unofficial transcript of the official English text consulted; official collation outstanding.</w:t>
      </w:r>
    </w:p>
    <w:p>
      <w:pPr>
        <w:pStyle w:val="BodyText"/>
      </w:pPr>
      <w:r>
        <w:t xml:space="preserve">Locus: Caritas in veritate §§53–54; Deus caritas est §§9–10</w:t>
      </w:r>
    </w:p>
    <w:p>
      <w:pPr>
        <w:pStyle w:val="BodyText"/>
      </w:pPr>
      <w:r>
        <w:t xml:space="preserve">Limit: Human growth through relationships does not prove that God remains intrinsically unchanged across alternative creations. Eternal personal relations are not alternative acts of creation. The 1990 Person essay remains an unconsulted lead.</w:t>
      </w:r>
    </w:p>
    <w:p>
      <w:pPr>
        <w:pStyle w:val="BodyText"/>
      </w:pPr>
      <w:r>
        <w:t xml:space="preserve">Source: https:/​/​www.​vatican.​va/​content/​benedict-​xvi/​en/​encyclicals/​documents/​hf_​ben-​xvi_​enc_​20090629_​caritas-​in-​veritate.​html</w:t>
      </w:r>
    </w:p>
    <w:bookmarkEnd w:id="365"/>
    <w:bookmarkStart w:id="366" w:name="X979add72a3105b8cb2ed0ba9d71b025cdacb9fd"/>
    <w:p>
      <w:pPr>
        <w:pStyle w:val="Heading4"/>
      </w:pPr>
      <w:r>
        <w:t xml:space="preserve">Thomas Aquinas: A precise bridge, with a definite cost</w:t>
      </w:r>
    </w:p>
    <w:p>
      <w:pPr>
        <w:pStyle w:val="FirstParagraph"/>
      </w:pPr>
      <w:r>
        <w:t xml:space="preserve">Dependence on parts, voluntary creation, knowing effects through self-knowledge, and asymmetric Creator–creature relations help answer distinct questions. His achievement helps specify the questions; it does not require adopting every part of his metaphysics as this page’s framework.</w:t>
      </w:r>
    </w:p>
    <w:p>
      <w:pPr>
        <w:pStyle w:val="BodyText"/>
      </w:pPr>
      <w:r>
        <w:t xml:space="preserve">Earlier-page primary-source and formal audit inherited; no fresh critical-edition collation here.</w:t>
      </w:r>
    </w:p>
    <w:p>
      <w:pPr>
        <w:pStyle w:val="BodyText"/>
      </w:pPr>
      <w:r>
        <w:t xml:space="preserve">Locus: Summa theologiae I, q. 3; q. 14, aa. 5, 8, 13; q. 19, aa. 3, 7; q. 45, a. 3</w:t>
      </w:r>
    </w:p>
    <w:p>
      <w:pPr>
        <w:pStyle w:val="BodyText"/>
      </w:pPr>
      <w:r>
        <w:t xml:space="preserve">Limit: A relation real in the creature need not add a feature to God; that claim must still explain genuine divine control. Each proposed real distinction still needs an argument showing whether it adds a constituent or received actuality to God.</w:t>
      </w:r>
    </w:p>
    <w:p>
      <w:pPr>
        <w:pStyle w:val="BodyText"/>
      </w:pPr>
      <w:r>
        <w:t xml:space="preserve">Source: https:/​/​www.​newadvent.​org/​summa/​1019.​htm</w:t>
      </w:r>
    </w:p>
    <w:bookmarkEnd w:id="366"/>
    <w:bookmarkEnd w:id="367"/>
    <w:bookmarkStart w:id="368" w:name="X2180b5989a9420f61a6b4d81341b0088721e320"/>
    <w:p>
      <w:pPr>
        <w:pStyle w:val="Heading3"/>
      </w:pPr>
      <w:r>
        <w:t xml:space="preserve">07. Received agency and the good of finite life</w:t>
      </w:r>
    </w:p>
    <w:p>
      <w:pPr>
        <w:pStyle w:val="FirstParagraph"/>
      </w:pPr>
      <w:r>
        <w:t xml:space="preserve">CONSTRUCTIVE APPLICATION WITH PRIMARY RESOURCES</w:t>
      </w:r>
    </w:p>
    <w:p>
      <w:pPr>
        <w:pStyle w:val="BodyText"/>
      </w:pPr>
      <w:r>
        <w:t xml:space="preserve">Dependence can enable a subject’s own act; finite conditions can constitute its good.</w:t>
      </w:r>
    </w:p>
    <w:p>
      <w:pPr>
        <w:pStyle w:val="BodyText"/>
      </w:pPr>
      <w:r>
        <w:t xml:space="preserve">A power can be given and genuinely exercisedParticipation means real dependent possession according to the participant’s mode. Applied to agency, this demands a further bridge: the creature must possess an operative power and exercise it through its own judgment, intention, and control. Receiving a power and using it are different relations. God’s sustaining the agent does not, merely by that fact, make God the subject of the agent’s intention.</w:t>
      </w:r>
    </w:p>
    <w:p>
      <w:pPr>
        <w:pStyle w:val="BodyText"/>
      </w:pPr>
      <w:r>
        <w:t xml:space="preserve">This gives secondary causality positive content. A musician may receive an instrument and still be the one who plays; support can enable a person’s choice rather than substitute for it. These finite comparisons do not prove the divine case, but they defeat the inference from dependence alone to passivity. The theological and metaphysical claim is stronger: God communicates real created powers whose exercises remain the creature’s acts. How divine concurrence preserves that control still requires a model; the word</w:t>
      </w:r>
      <w:r>
        <w:t xml:space="preserve"> </w:t>
      </w:r>
      <w:r>
        <w:t xml:space="preserve">“</w:t>
      </w:r>
      <w:r>
        <w:t xml:space="preserve">participation</w:t>
      </w:r>
      <w:r>
        <w:t xml:space="preserve">”</w:t>
      </w:r>
      <w:r>
        <w:t xml:space="preserve"> </w:t>
      </w:r>
      <w:r>
        <w:t xml:space="preserve">cannot supply one.</w:t>
      </w:r>
    </w:p>
    <w:p>
      <w:pPr>
        <w:pStyle w:val="BodyText"/>
      </w:pPr>
      <w:r>
        <w:t xml:space="preserve">Three meanings of limitationSome limitations are privations: ignorance obstructs knowledge. Others are positive conditions of a particular good: a melody needs succession, a conversation distinct speakers, a promise a history of fidelity. Still others are adverse circumstances to which a good responds: courage in danger, healing after illness. Confusing these categories turns every finite condition into a defect or every good response into a justification of harm.</w:t>
      </w:r>
    </w:p>
    <w:p>
      <w:pPr>
        <w:pStyle w:val="BodyText"/>
      </w:pPr>
      <w:r>
        <w:t xml:space="preserve">The test is concrete: would removing this condition perfect the same good, or abolish that kind of good? Removing distortion improves the melody; sounding every note at once abolishes it. God can ground the goodness of learning without learning, and the goodness of courage without undergoing danger. The complete finite description need not be transferred into its source.</w:t>
      </w:r>
    </w:p>
    <w:p>
      <w:pPr>
        <w:pStyle w:val="BodyText"/>
      </w:pPr>
      <w:r>
        <w:t xml:space="preserve">Created novelty therefore matters. A friendship comes to exist; a child understands; an injustice is repaired. These are new goods in creatures, not missing episodes through which God becomes complete. Bonaventure’s proportion, Augustine’s passing words, and Nyssa’s voluntary virtue illuminate different aspects of that claim.</w:t>
      </w:r>
    </w:p>
    <w:p>
      <w:pPr>
        <w:pStyle w:val="BodyText"/>
      </w:pPr>
      <w:r>
        <w:t xml:space="preserve">Communion fulfills without absorbingRatzinger gives the argument a personal horizon: communion preserves identity. It requires knowing and loving, rather than mere dependence or proximity. Grace must enable the creature actually to know and love; divine activity passing through a passive shell would supply neither created agency nor communion. None of this turns suffering into a good simply because healing or courage can follow it.</w:t>
      </w:r>
    </w:p>
    <w:bookmarkEnd w:id="368"/>
    <w:bookmarkStart w:id="369" w:name="X18f3360128681884cc1f7c99e5dcf0f63355c66"/>
    <w:p>
      <w:pPr>
        <w:pStyle w:val="Heading3"/>
      </w:pPr>
      <w:r>
        <w:t xml:space="preserve">08. One divine actuality, different kinds of determination</w:t>
      </w:r>
    </w:p>
    <w:p>
      <w:pPr>
        <w:pStyle w:val="FirstParagraph"/>
      </w:pPr>
      <w:r>
        <w:t xml:space="preserve">REVEALED COMMITMENTS ≠ PHILOSOPHICAL DEDUCTIONS</w:t>
      </w:r>
    </w:p>
    <w:p>
      <w:pPr>
        <w:pStyle w:val="BodyText"/>
      </w:pPr>
      <w:r>
        <w:t xml:space="preserve">Essential meaning, personal origin, and contingent action cannot prove one another.</w:t>
      </w:r>
    </w:p>
    <w:p>
      <w:pPr>
        <w:pStyle w:val="BodyText"/>
      </w:pPr>
      <w:r>
        <w:t xml:space="preserve">The systematic distinction is between being determinate and receiving actuality through a determination. It organizes several questions without reducing them to one relation.</w:t>
      </w:r>
    </w:p>
    <w:p>
      <w:pPr>
        <w:pStyle w:val="Compact"/>
        <w:numPr>
          <w:ilvl w:val="0"/>
          <w:numId w:val="1053"/>
        </w:numPr>
      </w:pPr>
      <w:r>
        <w:t xml:space="preserve">Essential predication: wisdom and power differ in meaning without thereby requiring separate actuality-parts. Their realization in one divine actuality needs its own perfection argument.</w:t>
      </w:r>
    </w:p>
    <w:p>
      <w:pPr>
        <w:pStyle w:val="Compact"/>
        <w:numPr>
          <w:ilvl w:val="0"/>
          <w:numId w:val="1053"/>
        </w:numPr>
      </w:pPr>
      <w:r>
        <w:t xml:space="preserve">Personal origin: Father, Son, and Spirit are really distinct by revealed relations of origin, without divided deity. The Son’s being from the Father is not creaturely reception, actualization from potency, or lesser possession of divine life.</w:t>
      </w:r>
    </w:p>
    <w:p>
      <w:pPr>
        <w:pStyle w:val="Compact"/>
        <w:numPr>
          <w:ilvl w:val="0"/>
          <w:numId w:val="1053"/>
        </w:numPr>
      </w:pPr>
      <w:r>
        <w:t xml:space="preserve">Free outward action: creating this world rather than another is a contingent intentional difference. The proposed relational account must explain it independently; personal relations do not prove its coherence.</w:t>
      </w:r>
    </w:p>
    <w:p>
      <w:pPr>
        <w:pStyle w:val="FirstParagraph"/>
      </w:pPr>
      <w:r>
        <w:t xml:space="preserve">Nazianzen’s category correction and Bonaventure’s distinction by origin prevent simplicity from becoming the absence of every real distinction. They do not turn the Persons into alternative creative outputs.</w:t>
      </w:r>
      <w:r>
        <w:t xml:space="preserve"> </w:t>
      </w:r>
      <w:r>
        <w:t xml:space="preserve">“</w:t>
      </w:r>
      <w:r>
        <w:t xml:space="preserve">All real difference is extrinsic</w:t>
      </w:r>
      <w:r>
        <w:t xml:space="preserve">”</w:t>
      </w:r>
      <w:r>
        <w:t xml:space="preserve"> </w:t>
      </w:r>
      <w:r>
        <w:t xml:space="preserve">would itself contradict the revealed personal relations.</w:t>
      </w:r>
    </w:p>
    <w:p>
      <w:pPr>
        <w:pStyle w:val="BodyText"/>
      </w:pPr>
      <w:r>
        <w:t xml:space="preserve">The Incarnation is another distinct claim. Christ’s humanity is not an ordinary participant elevated until it becomes God. The one divine Son personally subsists in divine and human natures without confusion or division. His human willing and suffering are real; they do not become creaturely properties of the divine nature. General participation can protect the categories, but cannot establish the hypostatic union or the identity of Jesus Christ.</w:t>
      </w:r>
    </w:p>
    <w:p>
      <w:pPr>
        <w:pStyle w:val="BodyText"/>
      </w:pPr>
      <w:r>
        <w:t xml:space="preserve">Beatific vision supplies a final correction. Catholic teaching affirms immediate vision of God himself, not merely a created representation standing in for him. The finite act of seeing remains received and non-exhaustive: immediacy identifies the object, not equality with God’s cognitive mode. Neither personal distinction nor fulfilled communion entails partition, absorption, or the disappearance of created agency.</w:t>
      </w:r>
    </w:p>
    <w:bookmarkEnd w:id="369"/>
    <w:bookmarkStart w:id="370" w:name="X2aa4d949e88c090b5d8c079062bbf31a054818c"/>
    <w:p>
      <w:pPr>
        <w:pStyle w:val="Heading3"/>
      </w:pPr>
      <w:r>
        <w:t xml:space="preserve">09. A determinate explanation with explicit stopping points</w:t>
      </w:r>
    </w:p>
    <w:p>
      <w:pPr>
        <w:pStyle w:val="FirstParagraph"/>
      </w:pPr>
      <w:r>
        <w:t xml:space="preserve">STARTING COMMITMENTS AND OPEN QUESTIONS</w:t>
      </w:r>
    </w:p>
    <w:p>
      <w:pPr>
        <w:pStyle w:val="BodyText"/>
      </w:pPr>
      <w:r>
        <w:t xml:space="preserve">Actuality, agency, and knowledge each make a distinct explanatory demand.</w:t>
      </w:r>
    </w:p>
    <w:p>
      <w:pPr>
        <w:pStyle w:val="BodyText"/>
      </w:pPr>
      <w:r>
        <w:t xml:space="preserve">Where Explanation Finally Stops. Actuality tells us that something is so. It does not say why this intention occurs, what makes it the agent’s act, or how it is known. Individuation asks what makes it this particular action; constitution asks whether something more basic makes the agent what it is. An answer to either need not answer the other.</w:t>
      </w:r>
    </w:p>
    <w:p>
      <w:pPr>
        <w:pStyle w:val="BodyText"/>
      </w:pPr>
      <w:r>
        <w:t xml:space="preserve">The account terminates in an intelligent agent’s actual rational exercise, not in an infinite sequence of inner selectors. That stopping point is defensible only if the agent’s intention and control really explain the outcome. A lottery does not become authorship because its unexplained result has been called a choice. Conversely, an explanation need not be deterministic merely because it is genuine.</w:t>
      </w:r>
    </w:p>
    <w:p>
      <w:pPr>
        <w:pStyle w:val="BodyText"/>
      </w:pPr>
      <w:r>
        <w:t xml:space="preserve">Dependence on constituents excludes proper intrinsic parts in an absolutely underived source. It has not established intrinsic invariance across possible creations, every divine perfection, or a theory of free choice. Those bridges remain distinct. One concrete realizer of several compatible meanings does not demonstrate one unchanging intellect’s knowledge of incompatible alternative histories.</w:t>
      </w:r>
    </w:p>
    <w:p>
      <w:pPr>
        <w:pStyle w:val="BodyText"/>
      </w:pPr>
      <w:r>
        <w:t xml:space="preserve">Cause and recipient can clarify one another conceptually. Learning about God through effects need not make God depend upon those effects. A definitional circle would arise if source and reception were each defined entirely through the other; an ontological reversal would arise if creatures supplied the very actuality by which God explains them. Neither is required by the proposed relational explanation.</w:t>
      </w:r>
    </w:p>
    <w:p>
      <w:pPr>
        <w:pStyle w:val="BodyText"/>
      </w:pPr>
      <w:r>
        <w:t xml:space="preserve">U(g) + dependence on constituents ⇒ no proper intrinsic parts.</w:t>
      </w:r>
      <w:r>
        <w:t xml:space="preserve"> </w:t>
      </w:r>
      <w:r>
        <w:t xml:space="preserve">No proper parts ⇏ intrinsic invariance or free action.</w:t>
      </w:r>
      <w:r>
        <w:t xml:space="preserve"> </w:t>
      </w:r>
      <w:r>
        <w:t xml:space="preserve">S(g,e,p) + T(e,x) ⇒ intentional action that produces x.</w:t>
      </w:r>
      <w:r>
        <w:t xml:space="preserve"> </w:t>
      </w:r>
      <w:r>
        <w:t xml:space="preserve">S(g,e,p) + T(e,x) + SelfAccess(g,e)</w:t>
      </w:r>
      <w:r>
        <w:t xml:space="preserve"> </w:t>
      </w:r>
      <w:r>
        <w:t xml:space="preserve">+ Transparency(e,x) + Warrant(g,e)</w:t>
      </w:r>
      <w:r>
        <w:t xml:space="preserve"> </w:t>
      </w:r>
      <w:r>
        <w:t xml:space="preserve">⇒ knowledge of x through the action.</w:t>
      </w:r>
      <w:r>
        <w:t xml:space="preserve"> </w:t>
      </w:r>
      <w:r>
        <w:t xml:space="preserve">Knowledge of free secondary acts requires an additional awareness bridge.</w:t>
      </w:r>
    </w:p>
    <w:p>
      <w:pPr>
        <w:pStyle w:val="BodyText"/>
      </w:pPr>
      <w:r>
        <w:t xml:space="preserve">The final line is indispensable. A formula that records comprehensive awareness would not derive it. The constructive explanation has a clear core and a clear remaining boundary.</w:t>
      </w:r>
    </w:p>
    <w:bookmarkEnd w:id="370"/>
    <w:bookmarkStart w:id="371" w:name="a-proposal-with-an-argumentative-cost"/>
    <w:p>
      <w:pPr>
        <w:pStyle w:val="Heading3"/>
      </w:pPr>
      <w:r>
        <w:t xml:space="preserve">10. A proposal with an argumentative cost</w:t>
      </w:r>
    </w:p>
    <w:p>
      <w:pPr>
        <w:pStyle w:val="FirstParagraph"/>
      </w:pPr>
      <w:r>
        <w:t xml:space="preserve">NEWMAN-STYLE ANALOGY · PROVISIONAL</w:t>
      </w:r>
    </w:p>
    <w:p>
      <w:pPr>
        <w:pStyle w:val="BodyText"/>
      </w:pPr>
      <w:r>
        <w:t xml:space="preserve">Its contribution is to connect distinct explanatory achievements without making them interchangeable.</w:t>
      </w:r>
    </w:p>
    <w:p>
      <w:pPr>
        <w:pStyle w:val="BodyText"/>
      </w:pPr>
      <w:r>
        <w:t xml:space="preserve">The proposal preserves participation’s type: an uncreated source, real creaturely otherness and goodness, received possession, and asymmetric dependence. It assimilates theophany, exemplarism, personal relation, rational freedom, and secondary agency while keeping their different explanatory jobs visible. Its sequence is intelligible: participation raises questions about the source; simplicity raises questions about concrete intelligent action; action raises questions about contingent knowledge and communion.</w:t>
      </w:r>
    </w:p>
    <w:p>
      <w:pPr>
        <w:pStyle w:val="BodyText"/>
      </w:pPr>
      <w:r>
        <w:t xml:space="preserve">The positive gain is a coordinated account of determination without acquired divine completion. That is a systematic development of inherited distinctions, rather than a claim that the vocabulary names an unprecedented primitive or a new proof superior to every classical argument.</w:t>
      </w:r>
    </w:p>
    <w:p>
      <w:pPr>
        <w:pStyle w:val="BodyText"/>
      </w:pPr>
      <w:r>
        <w:t xml:space="preserve">Three strong rivals remain. Necessary emanation offers productive fullness but denies the required alternatives. Intrinsic variation in divine intentions preserves choice while denying invariance, without necessarily introducing proper parts. An outcome-only relational account preserves invariance but fails to supply intentional authorship. The present proposal succeeds only if it preserves the explanatory strengths of the second while excluding the failure of the third.</w:t>
      </w:r>
    </w:p>
    <w:p>
      <w:pPr>
        <w:pStyle w:val="BodyText"/>
      </w:pPr>
      <w:r>
        <w:t xml:space="preserve">Historical differences matter. Eriugena’s strongest identity and divine self-manifestation language is not simply Aquinas’s mixed relations; Scotus’s distinctions cannot be refuted by counting them as parts. These traditions supply arguments and counterpressure, not signatures beneath one modern theory.</w:t>
      </w:r>
    </w:p>
    <w:p>
      <w:pPr>
        <w:pStyle w:val="BodyText"/>
      </w:pPr>
      <w:r>
        <w:t xml:space="preserve">Newman’s preservation of type, continuity of principles, logical sequence, and assimilative power are useful tests. Long-term stability and explanatory fruitfulness remain prospective. The analogy does not certify this architecture as defined Catholic doctrine.</w:t>
      </w:r>
    </w:p>
    <w:p>
      <w:pPr>
        <w:pStyle w:val="BodyText"/>
      </w:pPr>
      <w:r>
        <w:t xml:space="preserve">What removing an assumption leaves unexplained</w:t>
      </w:r>
    </w:p>
    <w:p>
      <w:pPr>
        <w:pStyle w:val="BodyText"/>
      </w:pPr>
      <w:r>
        <w:t xml:space="preserve">These are losses within the proposed explanation. They do not establish that no rival account could replace an omitted assumption.</w:t>
      </w:r>
    </w:p>
    <w:p>
      <w:pPr>
        <w:pStyle w:val="Compact"/>
        <w:numPr>
          <w:ilvl w:val="0"/>
          <w:numId w:val="1054"/>
        </w:numPr>
      </w:pPr>
      <w:r>
        <w:t xml:space="preserve">Remove Recipient conditions: Variation must be explained elsewhere; different receptions lose their explanation. Diagnostic: Different impressions wrongly force different parts in their source.</w:t>
      </w:r>
    </w:p>
    <w:p>
      <w:pPr>
        <w:pStyle w:val="Compact"/>
        <w:numPr>
          <w:ilvl w:val="0"/>
          <w:numId w:val="1054"/>
        </w:numPr>
      </w:pPr>
      <w:r>
        <w:t xml:space="preserve">Remove Intention and control: A benefit or outcome remains without an intentional agent. Diagnostic: An accidentally arriving blanket still warms someone.</w:t>
      </w:r>
    </w:p>
    <w:p>
      <w:pPr>
        <w:pStyle w:val="Compact"/>
        <w:numPr>
          <w:ilvl w:val="0"/>
          <w:numId w:val="1054"/>
        </w:numPr>
      </w:pPr>
      <w:r>
        <w:t xml:space="preserve">Remove Actual action: A capacity or possible plan remains without an actual choice. Diagnostic: The same powers alone identify neither creation nor refraining.</w:t>
      </w:r>
    </w:p>
    <w:p>
      <w:pPr>
        <w:pStyle w:val="Compact"/>
        <w:numPr>
          <w:ilvl w:val="0"/>
          <w:numId w:val="1054"/>
        </w:numPr>
      </w:pPr>
      <w:r>
        <w:t xml:space="preserve">Remove Producing the intended outcome: An intention remains without success. Diagnostic: A planned gift may never arrive.</w:t>
      </w:r>
    </w:p>
    <w:p>
      <w:pPr>
        <w:pStyle w:val="Compact"/>
        <w:numPr>
          <w:ilvl w:val="0"/>
          <w:numId w:val="1054"/>
        </w:numPr>
      </w:pPr>
      <w:r>
        <w:t xml:space="preserve">Remove Access and justification: True content can remain without established knowledge. Diagnostic: A lucky guess is correct but unsupported.</w:t>
      </w:r>
    </w:p>
    <w:p>
      <w:pPr>
        <w:pStyle w:val="Compact"/>
        <w:numPr>
          <w:ilvl w:val="0"/>
          <w:numId w:val="1054"/>
        </w:numPr>
      </w:pPr>
      <w:r>
        <w:t xml:space="preserve">Remove Intrinsic invariance: An agent may have no proper parts while its intrinsic intentions differ across alternatives. Diagnostic: A rival rejects the claim that God remains intrinsically the same.</w:t>
      </w:r>
    </w:p>
    <w:bookmarkEnd w:id="371"/>
    <w:bookmarkStart w:id="372" w:name="Xc3e244406f0de1a7238d2f58faa2e70d50e0518"/>
    <w:p>
      <w:pPr>
        <w:pStyle w:val="Heading3"/>
      </w:pPr>
      <w:r>
        <w:t xml:space="preserve">11. The source status is part of the argument</w:t>
      </w:r>
    </w:p>
    <w:p>
      <w:pPr>
        <w:pStyle w:val="FirstParagraph"/>
      </w:pPr>
      <w:r>
        <w:t xml:space="preserve">AUDITABLE SOURCES</w:t>
      </w:r>
    </w:p>
    <w:p>
      <w:pPr>
        <w:pStyle w:val="BodyText"/>
      </w:pPr>
      <w:r>
        <w:t xml:space="preserve">Exact loci, consultation history, and outstanding checks remain visible.</w:t>
      </w:r>
    </w:p>
    <w:p>
      <w:pPr>
        <w:pStyle w:val="BodyText"/>
      </w:pPr>
      <w:r>
        <w:t xml:space="preserve">The supplied Definitive Synthetic Edition and Working Philosophical Toolkit guide this revision’s constructive architecture; they do not upgrade the consultation status of the historical sources. Fresh primary translations at CCEL support the Dionysian and Nazianzen passages. Bonaventure and Eriugena reuse the supplied manuscript’s primary register alongside fresh specialist comparison. Maximus’s Greek witness is provisional. Ratzinger’s encyclicals were consulted in unofficial transcripts of official English texts; comparison with the official text remains outstanding. These differences are not hidden behind a single</w:t>
      </w:r>
      <w:r>
        <w:t xml:space="preserve"> </w:t>
      </w:r>
      <w:r>
        <w:t xml:space="preserve">“</w:t>
      </w:r>
      <w:r>
        <w:t xml:space="preserve">verified</w:t>
      </w:r>
      <w:r>
        <w:t xml:space="preserve">”</w:t>
      </w:r>
      <w:r>
        <w:t xml:space="preserve"> </w:t>
      </w:r>
      <w:r>
        <w:t xml:space="preserve">label.</w:t>
      </w:r>
    </w:p>
    <w:p>
      <w:pPr>
        <w:pStyle w:val="BodyText"/>
      </w:pPr>
      <w:r>
        <w:t xml:space="preserve">Evidence statusAll source entriesFresh primary translationInherited primary consultationProvisional / transcript qualificationSpecialist scholarship onlyUnconsulted leads only</w:t>
      </w:r>
    </w:p>
    <w:p>
      <w:pPr>
        <w:pStyle w:val="BodyText"/>
      </w:pPr>
      <w:r>
        <w:t xml:space="preserve">Filters inspect the complete 28-entry ledger, including specialist scholarship and unconsulted leads such as Ratzinger’s 1990 Person essay. This remains a disciplined research proposal, rather than an exhaustive critical-edition survey.</w:t>
      </w:r>
    </w:p>
    <w:p>
      <w:pPr>
        <w:pStyle w:val="BodyText"/>
      </w:pPr>
      <w:hyperlink r:id="rId186">
        <w:r>
          <w:rPr>
            <w:rStyle w:val="Hyperlink"/>
          </w:rPr>
          <w:t xml:space="preserve">Shared reading guide →</w:t>
        </w:r>
      </w:hyperlink>
      <w:hyperlink r:id="rId187">
        <w:r>
          <w:rPr>
            <w:rStyle w:val="Hyperlink"/>
          </w:rPr>
          <w:t xml:space="preserve">Complete Part III report →</w:t>
        </w:r>
      </w:hyperlink>
      <w:hyperlink r:id="rId188">
        <w:r>
          <w:rPr>
            <w:rStyle w:val="Hyperlink"/>
          </w:rPr>
          <w:t xml:space="preserve">Formal audit &amp; cases →</w:t>
        </w:r>
      </w:hyperlink>
      <w:hyperlink r:id="rId189">
        <w:r>
          <w:rPr>
            <w:rStyle w:val="Hyperlink"/>
          </w:rPr>
          <w:t xml:space="preserve">Source dossier →</w:t>
        </w:r>
      </w:hyperlink>
      <w:hyperlink r:id="rId190">
        <w:r>
          <w:rPr>
            <w:rStyle w:val="Hyperlink"/>
          </w:rPr>
          <w:t xml:space="preserve">Machine-readable source ledger →</w:t>
        </w:r>
      </w:hyperlink>
    </w:p>
    <w:p>
      <w:pPr>
        <w:pStyle w:val="BodyText"/>
      </w:pPr>
      <w:r>
        <w:t xml:space="preserve">Further reading and an imaginative companionTwo optional companions to this inquiry into divine action deserve an honorable mention.</w:t>
      </w:r>
    </w:p>
    <w:p>
      <w:pPr>
        <w:pStyle w:val="BodyText"/>
      </w:pPr>
      <w:r>
        <w:t xml:space="preserve">A philosophical resourceKerr, G. (2023).</w:t>
      </w:r>
      <w:r>
        <w:t xml:space="preserve"> </w:t>
      </w:r>
      <w:hyperlink r:id="rId191">
        <w:r>
          <w:rPr>
            <w:rStyle w:val="Hyperlink"/>
          </w:rPr>
          <w:t xml:space="preserve">God and the alone world</w:t>
        </w:r>
      </w:hyperlink>
      <w:r>
        <w:t xml:space="preserve">. Irish Theological Quarterly, 88(1), 76–89.</w:t>
      </w:r>
    </w:p>
    <w:p>
      <w:pPr>
        <w:pStyle w:val="BodyText"/>
      </w:pPr>
      <w:r>
        <w:t xml:space="preserve">A further-reading lead for pursuing the question of divine agency alongside the distinctions developed here between power, actual action, and knowledge. No particular argument from the article is attributed or adopted here.</w:t>
      </w:r>
    </w:p>
    <w:p>
      <w:pPr>
        <w:pStyle w:val="BodyText"/>
      </w:pPr>
      <w:r>
        <w:t xml:space="preserve">A loose comic-book metaphorEwing, A., Vecchio, L., Curiel, D., Aburtov, J., &amp; Sabino, J. V. C. (2024). Resurrection of Magneto #4. Marvel Comics.</w:t>
      </w:r>
    </w:p>
    <w:p>
      <w:pPr>
        <w:pStyle w:val="BodyText"/>
      </w:pPr>
      <w:r>
        <w:t xml:space="preserve">Consider Magneto as an imaginative comparison: an agent directing power toward a particular result can help us picture direct agency without a preliminary chain of separate actions. Directness alone does not establish freedom, and it need not mean reflex or psychological flow. The character remains a finite fictional agent; the comparison supplies no premise about divine simplicity, creation, or knowledge.</w:t>
      </w:r>
    </w:p>
    <w:p>
      <w:pPr>
        <w:pStyle w:val="BodyText"/>
      </w:pPr>
      <w:r>
        <w:t xml:space="preserve">These are reader-suggested resources. Bibliographic details are supplied by the reader; the article and comic have not been directly consulted for this page. The metaphysical account rests on the arguments and premises developed above.</w:t>
      </w:r>
    </w:p>
    <w:bookmarkEnd w:id="372"/>
    <w:bookmarkStart w:id="373" w:name="a-gift-can-become-a-life"/>
    <w:p>
      <w:pPr>
        <w:pStyle w:val="Heading3"/>
      </w:pPr>
      <w:r>
        <w:t xml:space="preserve">12. A gift can become a life</w:t>
      </w:r>
    </w:p>
    <w:p>
      <w:pPr>
        <w:pStyle w:val="FirstParagraph"/>
      </w:pPr>
      <w:r>
        <w:t xml:space="preserve">POSITIVE RESULT / CONDITIONAL METAPHYSICS</w:t>
      </w:r>
    </w:p>
    <w:p>
      <w:pPr>
        <w:pStyle w:val="BodyText"/>
      </w:pPr>
      <w:r>
        <w:t xml:space="preserve">Creaturely fulfillment can be real without constituting or completing God.</w:t>
      </w:r>
    </w:p>
    <w:p>
      <w:pPr>
        <w:pStyle w:val="BodyText"/>
      </w:pPr>
      <w:r>
        <w:t xml:space="preserve">The core result is an explanatory separation with positive consequences. What an agent produces, intends, controls, communicates, and knows cannot simply replace one another. A creature can receive a real power and genuinely exercise it. A finite history can bring a new good into existence without supplying God with a missing perfection. Communion can fulfill the recipient while preserving its identity.</w:t>
      </w:r>
    </w:p>
    <w:p>
      <w:pPr>
        <w:pStyle w:val="BodyText"/>
      </w:pPr>
      <w:r>
        <w:t xml:space="preserve">Applied to divine action, the proposal locates the contingent direction of creation in God’s real controlled relation to its intended effect, rather than in an acquired divine constituent. It must still defend that intentional ontology and the non-receptive knowledge it requires. Those are substantive bridges, not consequences of the word</w:t>
      </w:r>
      <w:r>
        <w:t xml:space="preserve"> </w:t>
      </w:r>
      <w:r>
        <w:t xml:space="preserve">“</w:t>
      </w:r>
      <w:r>
        <w:t xml:space="preserve">simple.</w:t>
      </w:r>
      <w:r>
        <w:t xml:space="preserve">”</w:t>
      </w:r>
    </w:p>
    <w:p>
      <w:pPr>
        <w:pStyle w:val="BodyText"/>
      </w:pPr>
      <w:r>
        <w:t xml:space="preserve">From source to plenitude, and to</w:t>
      </w:r>
      <w:r>
        <w:t xml:space="preserve"> </w:t>
      </w:r>
      <w:r>
        <w:t xml:space="preserve">“</w:t>
      </w:r>
      <w:r>
        <w:t xml:space="preserve">all in all</w:t>
      </w:r>
      <w:r>
        <w:t xml:space="preserve">”</w:t>
      </w:r>
      <w:r>
        <w:t xml:space="preserve">The six simplicity accomplishments exclude specified forms of received divine actuality. Their negative achievement does not alone establish every positive perfection. A further causal-adequacy and pure-perfection argument must warrant intellect, goodness, and plenitude. Universal sourcehood must likewise be argued, rather than inferred from a local cause.</w:t>
      </w:r>
    </w:p>
    <w:p>
      <w:pPr>
        <w:pStyle w:val="BodyText"/>
      </w:pPr>
      <w:r>
        <w:t xml:space="preserve">Under those bridges, God can be understood as the unreceived fullness from which every created good receives its actuality. The All names that fullness under universal sourcehood, not an aggregate made by adding God to the universe. Free communication remains a further step: abundance does not select a world merely by being abundant.</w:t>
      </w:r>
    </w:p>
    <w:p>
      <w:pPr>
        <w:pStyle w:val="BodyText"/>
      </w:pPr>
      <w:r>
        <w:t xml:space="preserve">Christian revelation then gives the final horizon that metaphysics alone cannot generate. The supplied manuscript situates 1 Corinthians 15:20–28 in its Christological setting: resurrection, Christ’s reign, the defeat of death, and the handing over of the kingdom frame the confession that God is all in all. This is a contextual paraphrase, not a newly collated biblical translation. The movement is the consummation of creation through Christ, not the source’s acquisition of its final completeness. The verse alone neither proves this philosophical architecture nor settles every person’s final destiny.</w:t>
      </w:r>
    </w:p>
    <w:p>
      <w:pPr>
        <w:pStyle w:val="BodyText"/>
      </w:pPr>
      <w:r>
        <w:t xml:space="preserve">God does not become complete through creation. Creation can become fulfilled through God.</w:t>
      </w:r>
    </w:p>
    <w:p>
      <w:pPr>
        <w:pStyle w:val="BodyText"/>
      </w:pPr>
      <w:r>
        <w:t xml:space="preserve">Resurrection and communion preserve embodied personal identity; beatific intimacy does not exhaust or divide its divine object. The end is therefore more than dependence made visible: it is a received life brought into knowing and loving communion. That promised consummation is theological content; the metaphysical contribution is to make its intimacy, creaturely reality, and divine sufficiency intelligible together.</w:t>
      </w:r>
    </w:p>
    <w:p>
      <w:pPr>
        <w:pStyle w:val="BodyText"/>
      </w:pPr>
      <w:hyperlink r:id="rId59">
        <w:r>
          <w:rPr>
            <w:rStyle w:val="Hyperlink"/>
          </w:rPr>
          <w:t xml:space="preserve">← Revisit simplicity and free creation</w:t>
        </w:r>
      </w:hyperlink>
      <w:hyperlink r:id="rId58">
        <w:r>
          <w:rPr>
            <w:rStyle w:val="Hyperlink"/>
          </w:rPr>
          <w:t xml:space="preserve">Return to Participation →</w:t>
        </w:r>
      </w:hyperlink>
    </w:p>
    <w:p>
      <w:pPr>
        <w:pStyle w:val="BodyText"/>
      </w:pPr>
      <w:r>
        <w:t xml:space="preserve">The interactive case records and rival interpretations are in real-difference-formal.md; editions, consultation provenance and specialist leads are in real-difference-sources.md and real-difference-ledger.json.</w:t>
      </w:r>
    </w:p>
    <w:bookmarkEnd w:id="373"/>
    <w:bookmarkStart w:id="380" w:name="questions-and-answers"/>
    <w:p>
      <w:pPr>
        <w:pStyle w:val="Heading3"/>
      </w:pPr>
      <w:r>
        <w:t xml:space="preserve">Questions and answers</w:t>
      </w:r>
    </w:p>
    <w:p>
      <w:pPr>
        <w:pStyle w:val="FirstParagraph"/>
      </w:pPr>
      <w:r>
        <w:t xml:space="preserve">This intended creation, knowledge of actual action, and the significance of finite goods.</w:t>
      </w:r>
    </w:p>
    <w:bookmarkStart w:id="375" w:name="X5a3f6bf76432bb43a071e4c9f6e55c44b79fc73"/>
    <w:p>
      <w:pPr>
        <w:pStyle w:val="Heading4"/>
      </w:pPr>
      <w:r>
        <w:t xml:space="preserve">7. What makes this creation God’s actual intention without creation adding an intrinsic determination to God?</w:t>
      </w:r>
    </w:p>
    <w:p>
      <w:pPr>
        <w:pStyle w:val="FirstParagraph"/>
      </w:pPr>
      <w:r>
        <w:t xml:space="preserve">The proposed answer is an actual intentional action directed toward this creation. The source understands the intended good and voluntarily exercises effective power toward it; the world receives the resulting actuality. This distinguishes the reason for acting, actual authorship, and successful production. The intention does explanatory work before the effect supplies its description, where before means explanatory priority rather than a temporal interval. A general creative capacity or the completed world’s existence would not explain why this world was intended.</w:t>
      </w:r>
    </w:p>
    <w:p>
      <w:pPr>
        <w:pStyle w:val="BodyText"/>
      </w:pPr>
      <w:r>
        <w:t xml:space="preserve">This is a disputed compatibility proposal, not a result secured by calling the action relational. It must explain why that relation is genuine intentional agency rather than a new description attached to the outcome. A rival permits different intrinsic intentions across possibilities while denying parts or temporal acquisition. Noncomposition alone has not refuted it. The central burden is to defend determinate divine action with no difference in God’s intrinsic actuality across those alternatives.</w:t>
      </w:r>
    </w:p>
    <w:bookmarkStart w:id="374" w:name="X3b2c4b494fbbc4f618a8f1c939c068a284446f8"/>
    <w:p>
      <w:pPr>
        <w:pStyle w:val="Heading5"/>
      </w:pPr>
      <w:r>
        <w:t xml:space="preserve">The premises behind this answer: A relational account of intentional action</w:t>
      </w:r>
    </w:p>
    <w:p>
      <w:pPr>
        <w:pStyle w:val="FirstParagraph"/>
      </w:pPr>
      <w:r>
        <w:t xml:space="preserve">Adds a proposed account of real intentional direction while retaining the stronger claim of identical intrinsic actuality across alternatives. The relational ontology remains disputed.</w:t>
      </w:r>
    </w:p>
    <w:p>
      <w:pPr>
        <w:pStyle w:val="BodyText"/>
      </w:pPr>
      <w:r>
        <w:t xml:space="preserve">Adopt these premises:</w:t>
      </w:r>
    </w:p>
    <w:p>
      <w:pPr>
        <w:pStyle w:val="Compact"/>
        <w:numPr>
          <w:ilvl w:val="0"/>
          <w:numId w:val="1055"/>
        </w:numPr>
      </w:pPr>
      <w:r>
        <w:t xml:space="preserve">Actual voluntary action is an irreducible fact of an agent’s reason-guided control, not just a power or an effect-description.</w:t>
      </w:r>
    </w:p>
    <w:p>
      <w:pPr>
        <w:pStyle w:val="Compact"/>
        <w:numPr>
          <w:ilvl w:val="0"/>
          <w:numId w:val="1055"/>
        </w:numPr>
      </w:pPr>
      <w:r>
        <w:t xml:space="preserve">Its particular direction concerns understood possible content; successful production makes that content actual without the effect causing the intention.</w:t>
      </w:r>
    </w:p>
    <w:p>
      <w:pPr>
        <w:pStyle w:val="Compact"/>
        <w:numPr>
          <w:ilvl w:val="0"/>
          <w:numId w:val="1055"/>
        </w:numPr>
      </w:pPr>
      <w:r>
        <w:t xml:space="preserve">Adopt the stronger commitment that God’s intrinsic actuality is the same across creation alternatives.</w:t>
      </w:r>
    </w:p>
    <w:p>
      <w:pPr>
        <w:pStyle w:val="Compact"/>
        <w:numPr>
          <w:ilvl w:val="0"/>
          <w:numId w:val="1055"/>
        </w:numPr>
      </w:pPr>
      <w:r>
        <w:t xml:space="preserve">A contingent creative intention can be genuinely determinate in the agent’s real relation to understood content without any added or different intrinsic actuality in God.</w:t>
      </w:r>
    </w:p>
    <w:p>
      <w:pPr>
        <w:pStyle w:val="FirstParagraph"/>
      </w:pPr>
      <w:r>
        <w:t xml:space="preserve">Why adopt them?</w:t>
      </w:r>
    </w:p>
    <w:p>
      <w:pPr>
        <w:pStyle w:val="BodyText"/>
      </w:pPr>
      <w:r>
        <w:t xml:space="preserve">The proposed relation includes agent, intended content, and actual control: identical physical effects can serve different intentions. It is the agent’s action toward its object, not an independently existing intermediary. The agent explains its productive origin; reasons explain its purpose without uniquely necessitating it. With intrinsic sameness retained, the contingent difference is assigned to this actual intentional relation. Merely acquiring the description Creator would supply none of that control or direction. Across alternatives, the contingent difference belongs to the complete fact of the agent acting toward an intended object; the intended creature does not produce the agent’s act.</w:t>
      </w:r>
    </w:p>
    <w:p>
      <w:pPr>
        <w:pStyle w:val="BodyText"/>
      </w:pPr>
      <w:r>
        <w:t xml:space="preserve">What follows if they hold?</w:t>
      </w:r>
    </w:p>
    <w:p>
      <w:pPr>
        <w:pStyle w:val="BodyText"/>
      </w:pPr>
      <w:r>
        <w:t xml:space="preserve">God’s determinate willing can be treated as a real action whose relational content differs, without creation supplying divine actuality. Explanation stops at rational voluntary agency.</w:t>
      </w:r>
    </w:p>
    <w:p>
      <w:pPr>
        <w:pStyle w:val="BodyText"/>
      </w:pPr>
      <w:r>
        <w:t xml:space="preserve">What remains to defend: The claim that real intentional direction involves no intrinsic difference is the disputed ontological addition. It must explain control rather than merely name an outcome. Noncomposition and the finite examples do not prove it; the intrinsic-intention rival remains open.</w:t>
      </w:r>
    </w:p>
    <w:p>
      <w:pPr>
        <w:pStyle w:val="BodyText"/>
      </w:pPr>
      <w:hyperlink r:id="rId120">
        <w:r>
          <w:rPr>
            <w:rStyle w:val="Hyperlink"/>
          </w:rPr>
          <w:t xml:space="preserve">The proposal and its rival</w:t>
        </w:r>
      </w:hyperlink>
      <w:r>
        <w:t xml:space="preserve"> </w:t>
      </w:r>
      <w:r>
        <w:t xml:space="preserve">·</w:t>
      </w:r>
      <w:r>
        <w:t xml:space="preserve"> </w:t>
      </w:r>
      <w:hyperlink r:id="rId121">
        <w:r>
          <w:rPr>
            <w:rStyle w:val="Hyperlink"/>
          </w:rPr>
          <w:t xml:space="preserve">Compare actions and outcomes</w:t>
        </w:r>
      </w:hyperlink>
      <w:r>
        <w:t xml:space="preserve"> </w:t>
      </w:r>
      <w:r>
        <w:t xml:space="preserve">·</w:t>
      </w:r>
      <w:r>
        <w:t xml:space="preserve"> </w:t>
      </w:r>
      <w:hyperlink r:id="rId122">
        <w:r>
          <w:rPr>
            <w:rStyle w:val="Hyperlink"/>
          </w:rPr>
          <w:t xml:space="preserve">Where the explanation stops</w:t>
        </w:r>
      </w:hyperlink>
    </w:p>
    <w:bookmarkEnd w:id="374"/>
    <w:bookmarkEnd w:id="375"/>
    <w:bookmarkStart w:id="377" w:name="X4899424abf8793e1bee93ae2e461d8518d9b3cc"/>
    <w:p>
      <w:pPr>
        <w:pStyle w:val="Heading4"/>
      </w:pPr>
      <w:r>
        <w:t xml:space="preserve">8. How could God know what he actually wills and does without learning it from creation?</w:t>
      </w:r>
    </w:p>
    <w:p>
      <w:pPr>
        <w:pStyle w:val="FirstParagraph"/>
      </w:pPr>
      <w:r>
        <w:t xml:space="preserve">Through knowledge of his own actual intelligent action, if that action and its effect are adequately disclosed to him. Knowing every possible plan is not yet knowing which action occurs. The proposal therefore adds warranted awareness of the actual action and its particular intention, understanding of its efficacy, and adequate grasp of what follows from those facts. On those conditions, the effect is known through the action producing it, rather than teaching God what happened.</w:t>
      </w:r>
    </w:p>
    <w:p>
      <w:pPr>
        <w:pStyle w:val="BodyText"/>
      </w:pPr>
      <w:r>
        <w:t xml:space="preserve">This accounts for effects adequately specified and disclosed in the productive intention. A permitted creaturely choice poses a further question: receiving power is not the same as God supplying that creature’s intention. The page therefore considers an additional proposal of direct, non-receptive cognitive presence to the actual choice. Its truth can require that the choice really occur without the choice supplying God’s cognitive actuality. Separating these relations removes a confusion; adequate cognitive access and, for future choices, an account of eternal knowledge still need their own defense.</w:t>
      </w:r>
    </w:p>
    <w:bookmarkStart w:id="376" w:name="X94278dda2be3640a3807ffc8b189f1861708295"/>
    <w:p>
      <w:pPr>
        <w:pStyle w:val="Heading5"/>
      </w:pPr>
      <w:r>
        <w:t xml:space="preserve">The premises behind this answer: Knowledge through one’s intelligent action</w:t>
      </w:r>
    </w:p>
    <w:p>
      <w:pPr>
        <w:pStyle w:val="FirstParagraph"/>
      </w:pPr>
      <w:r>
        <w:t xml:space="preserve">Adds awareness of actual action, adequate disclosure of its effect, and epistemic warrant. Non-receptive access and infallible efficacy are further divine commitments.</w:t>
      </w:r>
    </w:p>
    <w:p>
      <w:pPr>
        <w:pStyle w:val="BodyText"/>
      </w:pPr>
      <w:r>
        <w:t xml:space="preserve">Adopt these premises:</w:t>
      </w:r>
    </w:p>
    <w:p>
      <w:pPr>
        <w:pStyle w:val="Compact"/>
        <w:numPr>
          <w:ilvl w:val="0"/>
          <w:numId w:val="1056"/>
        </w:numPr>
      </w:pPr>
      <w:r>
        <w:t xml:space="preserve">The source has accurate awareness of its actual action and determinate intention, without receiving cognitive actuality from the effect. Knowing possible plans alone is insufficient.</w:t>
      </w:r>
    </w:p>
    <w:p>
      <w:pPr>
        <w:pStyle w:val="Compact"/>
        <w:numPr>
          <w:ilvl w:val="0"/>
          <w:numId w:val="1056"/>
        </w:numPr>
      </w:pPr>
      <w:r>
        <w:t xml:space="preserve">Its creative power infallibly realizes the intended content within the intention’s scope, and the source has adequately warranted awareness of that connection between actual execution and successful realization.</w:t>
      </w:r>
    </w:p>
    <w:p>
      <w:pPr>
        <w:pStyle w:val="Compact"/>
        <w:numPr>
          <w:ilvl w:val="0"/>
          <w:numId w:val="1056"/>
        </w:numPr>
      </w:pPr>
      <w:r>
        <w:t xml:space="preserve">The awareness has epistemic warrant through intelligent direction, competence, and adequate access, rather than lucky agreement with the outcome.</w:t>
      </w:r>
    </w:p>
    <w:p>
      <w:pPr>
        <w:pStyle w:val="Compact"/>
        <w:numPr>
          <w:ilvl w:val="0"/>
          <w:numId w:val="1056"/>
        </w:numPr>
      </w:pPr>
      <w:r>
        <w:t xml:space="preserve">The source adequately grasps that actual execution and infallible efficacy entail the intended effect. This need not be a temporal process of inference.</w:t>
      </w:r>
    </w:p>
    <w:p>
      <w:pPr>
        <w:pStyle w:val="FirstParagraph"/>
      </w:pPr>
      <w:r>
        <w:t xml:space="preserve">Why adopt them?</w:t>
      </w:r>
    </w:p>
    <w:p>
      <w:pPr>
        <w:pStyle w:val="BodyText"/>
      </w:pPr>
      <w:r>
        <w:t xml:space="preserve">An intention can guide production, rather than being inferred from the finished product. Awareness of actual execution, together with warranted knowledge of its efficacy, gives a positive route to knowing what is produced. The action explains the effect. Warranted awareness of actual execution and its assured efficacy, together with grasp of their implication, warrants the conclusion that the intended effect occurs. Truth depends on what actually happens without requiring the effect to actualize cognition. Dionysius’s causal knowledge and Aquinas’s knowing as cause joined to willing supply historical resources.</w:t>
      </w:r>
    </w:p>
    <w:p>
      <w:pPr>
        <w:pStyle w:val="BodyText"/>
      </w:pPr>
      <w:r>
        <w:t xml:space="preserve">What follows if they hold?</w:t>
      </w:r>
    </w:p>
    <w:p>
      <w:pPr>
        <w:pStyle w:val="BodyText"/>
      </w:pPr>
      <w:r>
        <w:t xml:space="preserve">On these premises, the source knows its creative action and disclosed effect without learning from that effect.</w:t>
      </w:r>
    </w:p>
    <w:p>
      <w:pPr>
        <w:pStyle w:val="BodyText"/>
      </w:pPr>
      <w:r>
        <w:t xml:space="preserve">What remains to defend: Non-receptive access, infallible efficacy, adequate disclosure, and warrant are additional premises. Extending the account to permitted secondary choices requires a further cognitive relation to their actual exercise. Extending it to future contingents also requires an account of eternity or another defended basis of foreknowledge; neither follows from causal presence alone.</w:t>
      </w:r>
    </w:p>
    <w:p>
      <w:pPr>
        <w:pStyle w:val="BodyText"/>
      </w:pPr>
      <w:hyperlink r:id="rId129">
        <w:r>
          <w:rPr>
            <w:rStyle w:val="Hyperlink"/>
          </w:rPr>
          <w:t xml:space="preserve">Knowledge and its limits</w:t>
        </w:r>
      </w:hyperlink>
      <w:r>
        <w:t xml:space="preserve"> </w:t>
      </w:r>
      <w:r>
        <w:t xml:space="preserve">·</w:t>
      </w:r>
      <w:r>
        <w:t xml:space="preserve"> </w:t>
      </w:r>
      <w:hyperlink r:id="rId130">
        <w:r>
          <w:rPr>
            <w:rStyle w:val="Hyperlink"/>
          </w:rPr>
          <w:t xml:space="preserve">The separate epistemic premises</w:t>
        </w:r>
      </w:hyperlink>
    </w:p>
    <w:bookmarkEnd w:id="376"/>
    <w:bookmarkEnd w:id="377"/>
    <w:bookmarkStart w:id="379" w:name="X88a2671390d5dfe512733dc07a69d7cdf582295"/>
    <w:p>
      <w:pPr>
        <w:pStyle w:val="Heading4"/>
      </w:pPr>
      <w:r>
        <w:t xml:space="preserve">9. If creation supplies nothing God needs, why do finite creatures and their histories matter?</w:t>
      </w:r>
    </w:p>
    <w:p>
      <w:pPr>
        <w:pStyle w:val="FirstParagraph"/>
      </w:pPr>
      <w:r>
        <w:t xml:space="preserve">Because received reality and goodness remain real. Some finite conditions constitute particular goods: succession belongs to a melody; distinct speakers belong to conversation; a history allows a promise to be kept. Removing these conditions abolishes that particular good rather than perfecting it. By contrast, removing ignorance improves understanding. A third case is a good response to adversity: courage can be good in danger without making danger good. The test asks what the condition contributes, rather than treating every finite limit alike.</w:t>
      </w:r>
    </w:p>
    <w:p>
      <w:pPr>
        <w:pStyle w:val="BodyText"/>
      </w:pPr>
      <w:r>
        <w:t xml:space="preserve">Source independence therefore leaves creaturely achievement meaningful and creaturely harm serious. A friendship can begin without supplying God with a missing perfection; its good belongs truly to the friends. Communion adds knowing and loving to dependence and preserves the persons who enter it. Christian revelation identifies its promised consummation through Christ. Creation is fulfilled in God; it does not supply the final installment of divine completion. That claim neither justifies every injury nor turns all limitations into defects to be erased.</w:t>
      </w:r>
    </w:p>
    <w:bookmarkStart w:id="378" w:name="X2934248c641eff8d7b5877b4fc1e6227ec8945d"/>
    <w:p>
      <w:pPr>
        <w:pStyle w:val="Heading5"/>
      </w:pPr>
      <w:r>
        <w:t xml:space="preserve">The premises behind this answer: Goods constituted by finite organization</w:t>
      </w:r>
    </w:p>
    <w:p>
      <w:pPr>
        <w:pStyle w:val="FirstParagraph"/>
      </w:pPr>
      <w:r>
        <w:t xml:space="preserve">Adds a defended account of particular finite goods to the inherited causal and source principles.</w:t>
      </w:r>
    </w:p>
    <w:p>
      <w:pPr>
        <w:pStyle w:val="BodyText"/>
      </w:pPr>
      <w:r>
        <w:t xml:space="preserve">Adopt these premises:</w:t>
      </w:r>
    </w:p>
    <w:p>
      <w:pPr>
        <w:pStyle w:val="Compact"/>
        <w:numPr>
          <w:ilvl w:val="0"/>
          <w:numId w:val="1057"/>
        </w:numPr>
      </w:pPr>
      <w:r>
        <w:t xml:space="preserve">Realized goods have intelligible standards appropriate to their kind: proportion in a melody, mutual understanding in conversation, or faithful concern in friendship.</w:t>
      </w:r>
    </w:p>
    <w:p>
      <w:pPr>
        <w:pStyle w:val="Compact"/>
        <w:numPr>
          <w:ilvl w:val="0"/>
          <w:numId w:val="1057"/>
        </w:numPr>
      </w:pPr>
      <w:r>
        <w:t xml:space="preserve">Some such goods require succession, proportion, distinct persons, or a particular history.</w:t>
      </w:r>
    </w:p>
    <w:p>
      <w:pPr>
        <w:pStyle w:val="Compact"/>
        <w:numPr>
          <w:ilvl w:val="0"/>
          <w:numId w:val="1057"/>
        </w:numPr>
      </w:pPr>
      <w:r>
        <w:t xml:space="preserve">God can ground their actuality and positive content without possessing their finite constitutive form or receiving completion from them.</w:t>
      </w:r>
    </w:p>
    <w:p>
      <w:pPr>
        <w:pStyle w:val="FirstParagraph"/>
      </w:pPr>
      <w:r>
        <w:t xml:space="preserve">Why adopt them?</w:t>
      </w:r>
    </w:p>
    <w:p>
      <w:pPr>
        <w:pStyle w:val="BodyText"/>
      </w:pPr>
      <w:r>
        <w:t xml:space="preserve">A melody loses its particular good if its ordered sequence becomes an undifferentiated instant; conversation loses dialogue if distinct speakers collapse into one. Finite conditions can therefore partly constitute a good instead of merely subtracting quantity from it. Augustine’s passing words and Bonaventure’s proportion illuminate this role of organization. Those standards can be assessed independently of whether God causes the example. Corresponding goodness need not exist in God as that same melody or conversation: causal adequacy preserves positive content with difference of mode.</w:t>
      </w:r>
    </w:p>
    <w:p>
      <w:pPr>
        <w:pStyle w:val="BodyText"/>
      </w:pPr>
      <w:r>
        <w:t xml:space="preserve">Ask whether removing a condition perfects the same good, abolishes that kind of good, or removes an adversity to which the good was a response. This distinguishes ignorance, musical succession, and danger. The goodness of courage or healing gives no permission to manufacture threats or illness.</w:t>
      </w:r>
    </w:p>
    <w:p>
      <w:pPr>
        <w:pStyle w:val="BodyText"/>
      </w:pPr>
      <w:r>
        <w:t xml:space="preserve">What follows if they hold?</w:t>
      </w:r>
    </w:p>
    <w:p>
      <w:pPr>
        <w:pStyle w:val="BodyText"/>
      </w:pPr>
      <w:r>
        <w:t xml:space="preserve">Created histories can contain genuinely new goods for creatures without improving God. Their particularity explains why this friendship or response matters.</w:t>
      </w:r>
    </w:p>
    <w:p>
      <w:pPr>
        <w:pStyle w:val="BodyText"/>
      </w:pPr>
      <w:r>
        <w:t xml:space="preserve">What remains to defend: Particular goods need their own evaluative defense. This does not make every limitation good, justify injury, or establish a complete theodicy.</w:t>
      </w:r>
    </w:p>
    <w:p>
      <w:pPr>
        <w:pStyle w:val="BodyText"/>
      </w:pPr>
      <w:hyperlink r:id="rId137">
        <w:r>
          <w:rPr>
            <w:rStyle w:val="Hyperlink"/>
          </w:rPr>
          <w:t xml:space="preserve">How finite measure can constitute a good</w:t>
        </w:r>
      </w:hyperlink>
      <w:r>
        <w:t xml:space="preserve"> </w:t>
      </w:r>
      <w:r>
        <w:t xml:space="preserve">·</w:t>
      </w:r>
      <w:r>
        <w:t xml:space="preserve"> </w:t>
      </w:r>
      <w:hyperlink r:id="rId138">
        <w:r>
          <w:rPr>
            <w:rStyle w:val="Hyperlink"/>
          </w:rPr>
          <w:t xml:space="preserve">Ratzinger, Augustine, and Bonaventure</w:t>
        </w:r>
      </w:hyperlink>
    </w:p>
    <w:bookmarkEnd w:id="378"/>
    <w:bookmarkEnd w:id="379"/>
    <w:bookmarkEnd w:id="380"/>
    <w:bookmarkEnd w:id="381"/>
    <w:p>
      <w:pPr>
        <w:pStyle w:val="Heading1"/>
      </w:pPr>
      <w:r>
        <w:t xml:space="preserve">Appendix B — real-difference-formal.md</w:t>
      </w:r>
    </w:p>
    <w:p>
      <w:pPr>
        <w:pStyle w:val="FirstParagraph"/>
      </w:pPr>
      <w:r>
        <w:t xml:space="preserve">Original research file: https:/​/​participation-​6o4.​pages.​dev/​research/​real-​difference-​formal.​md</w:t>
      </w:r>
    </w:p>
    <w:bookmarkStart w:id="388" w:name="X9135f93ff2388b79949a057f51e93f96356c495"/>
    <w:p>
      <w:pPr>
        <w:pStyle w:val="Heading2"/>
      </w:pPr>
      <w:r>
        <w:t xml:space="preserve">Divine Agency: Simplicity and Free Creation — formal audit</w:t>
      </w:r>
    </w:p>
    <w:bookmarkStart w:id="382" w:name="X871826e0617ee27b8ded2e4c3541877367877d6"/>
    <w:p>
      <w:pPr>
        <w:pStyle w:val="Heading3"/>
      </w:pPr>
      <w:r>
        <w:t xml:space="preserve">Status: an explanatory test, rather than a proof</w:t>
      </w:r>
    </w:p>
    <w:p>
      <w:pPr>
        <w:pStyle w:val="FirstParagraph"/>
      </w:pPr>
      <w:r>
        <w:t xml:space="preserve">The question is how God can freely and knowingly create this world rather than another while God’s intrinsic actuality—his own being—remains the same across those alternatives. This is stronger than saying that God acquires no new feature over time. The page’s deeper focus is where the relevant differences belong—in outcomes, intentions, actions, relationships, or knowledge.</w:t>
      </w:r>
    </w:p>
    <w:p>
      <w:pPr>
        <w:pStyle w:val="BodyText"/>
      </w:pPr>
      <w:r>
        <w:t xml:space="preserve">This is a constructive continuation of the first two pages. The interactive inspector compares explicitly assigned example facts. Passing its checks establishes what those records contain and how the selected explanation fits them. It does not establish genuine metaphysical possibility, absolute underivation, complete intrinsic invariance, divine freedom, or omniscience.</w:t>
      </w:r>
    </w:p>
    <w:p>
      <w:pPr>
        <w:pStyle w:val="BodyText"/>
      </w:pPr>
      <w:r>
        <w:t xml:space="preserve">The positive result is a set of necessary distinctions. What an agent produces, intends, actually does, and knows perform different explanatory work. What a recipient receives and recognizes also differ. No fact in one category automatically supplies all the others.</w:t>
      </w:r>
    </w:p>
    <w:bookmarkEnd w:id="382"/>
    <w:bookmarkStart w:id="383" w:name="small-notation-disclosed-assumptions"/>
    <w:p>
      <w:pPr>
        <w:pStyle w:val="Heading3"/>
      </w:pPr>
      <w:r>
        <w:t xml:space="preserve">Small notation, disclosed assumptions</w:t>
      </w:r>
    </w:p>
    <w:p>
      <w:pPr>
        <w:pStyle w:val="FirstParagraph"/>
      </w:pPr>
      <w:r>
        <w:t xml:space="preserve">Let</w:t>
      </w:r>
      <w:r>
        <w:t xml:space="preserve"> </w:t>
      </w:r>
      <w:r>
        <w:rPr>
          <w:rStyle w:val="VerbatimChar"/>
        </w:rPr>
        <w:t xml:space="preserve">g</w:t>
      </w:r>
      <w:r>
        <w:t xml:space="preserve"> </w:t>
      </w:r>
      <w:r>
        <w:t xml:space="preserve">denote an agent,</w:t>
      </w:r>
      <w:r>
        <w:t xml:space="preserve"> </w:t>
      </w:r>
      <w:r>
        <w:rPr>
          <w:rStyle w:val="VerbatimChar"/>
        </w:rPr>
        <w:t xml:space="preserve">e</w:t>
      </w:r>
      <w:r>
        <w:t xml:space="preserve"> </w:t>
      </w:r>
      <w:r>
        <w:t xml:space="preserve">an actual action,</w:t>
      </w:r>
      <w:r>
        <w:t xml:space="preserve"> </w:t>
      </w:r>
      <w:r>
        <w:rPr>
          <w:rStyle w:val="VerbatimChar"/>
        </w:rPr>
        <w:t xml:space="preserve">p</w:t>
      </w:r>
      <w:r>
        <w:t xml:space="preserve"> </w:t>
      </w:r>
      <w:r>
        <w:t xml:space="preserve">what the agent intends, and</w:t>
      </w:r>
      <w:r>
        <w:t xml:space="preserve"> </w:t>
      </w:r>
      <w:r>
        <w:rPr>
          <w:rStyle w:val="VerbatimChar"/>
        </w:rPr>
        <w:t xml:space="preserve">x</w:t>
      </w:r>
      <w:r>
        <w:t xml:space="preserve"> </w:t>
      </w:r>
      <w:r>
        <w:t xml:space="preserve">the created outcome.</w:t>
      </w:r>
    </w:p>
    <w:p>
      <w:pPr>
        <w:pStyle w:val="Compact"/>
        <w:numPr>
          <w:ilvl w:val="0"/>
          <w:numId w:val="1058"/>
        </w:numPr>
      </w:pPr>
      <w:r>
        <w:rPr>
          <w:rStyle w:val="VerbatimChar"/>
        </w:rPr>
        <w:t xml:space="preserve">S(g,e,p)</w:t>
      </w:r>
      <w:r>
        <w:t xml:space="preserve">: g actually performs and controls action e, intending p.</w:t>
      </w:r>
    </w:p>
    <w:p>
      <w:pPr>
        <w:pStyle w:val="Compact"/>
        <w:numPr>
          <w:ilvl w:val="0"/>
          <w:numId w:val="1058"/>
        </w:numPr>
      </w:pPr>
      <w:r>
        <w:rPr>
          <w:rStyle w:val="VerbatimChar"/>
        </w:rPr>
        <w:t xml:space="preserve">T(e,x)</w:t>
      </w:r>
      <w:r>
        <w:t xml:space="preserve">: e effectively produces x as intended.</w:t>
      </w:r>
    </w:p>
    <w:p>
      <w:pPr>
        <w:pStyle w:val="Compact"/>
        <w:numPr>
          <w:ilvl w:val="0"/>
          <w:numId w:val="1058"/>
        </w:numPr>
      </w:pPr>
      <w:r>
        <w:rPr>
          <w:rStyle w:val="VerbatimChar"/>
        </w:rPr>
        <w:t xml:space="preserve">U(g)</w:t>
      </w:r>
      <w:r>
        <w:t xml:space="preserve">: g does not receive the actuality of its being through dependence on anything else.</w:t>
      </w:r>
    </w:p>
    <w:p>
      <w:pPr>
        <w:pStyle w:val="Compact"/>
        <w:numPr>
          <w:ilvl w:val="0"/>
          <w:numId w:val="1058"/>
        </w:numPr>
      </w:pPr>
      <w:r>
        <w:rPr>
          <w:rStyle w:val="VerbatimChar"/>
        </w:rPr>
        <w:t xml:space="preserve">SelfAccess(g,e)</w:t>
      </w:r>
      <w:r>
        <w:t xml:space="preserve">: g has accurate awareness of this actual action; whether it counts as knowledge is not built into this predicate.</w:t>
      </w:r>
    </w:p>
    <w:p>
      <w:pPr>
        <w:pStyle w:val="Compact"/>
        <w:numPr>
          <w:ilvl w:val="0"/>
          <w:numId w:val="1058"/>
        </w:numPr>
      </w:pPr>
      <w:r>
        <w:rPr>
          <w:rStyle w:val="VerbatimChar"/>
        </w:rPr>
        <w:t xml:space="preserve">Transparency(e,x)</w:t>
      </w:r>
      <w:r>
        <w:t xml:space="preserve">: its relevant outcome is adequately disclosed through that action.</w:t>
      </w:r>
    </w:p>
    <w:p>
      <w:pPr>
        <w:pStyle w:val="Compact"/>
        <w:numPr>
          <w:ilvl w:val="0"/>
          <w:numId w:val="1058"/>
        </w:numPr>
      </w:pPr>
      <w:r>
        <w:rPr>
          <w:rStyle w:val="VerbatimChar"/>
        </w:rPr>
        <w:t xml:space="preserve">Warrant(g,e)</w:t>
      </w:r>
      <w:r>
        <w:t xml:space="preserve">: the inference from awareness of the action and disclosure of its effect to knowledge of x has adequate justification.</w:t>
      </w:r>
    </w:p>
    <w:p>
      <w:pPr>
        <w:pStyle w:val="FirstParagraph"/>
      </w:pPr>
      <w:r>
        <w:t xml:space="preserve">S is a</w:t>
      </w:r>
      <w:r>
        <w:t xml:space="preserve"> </w:t>
      </w:r>
      <w:r>
        <w:rPr>
          <w:b/>
          <w:bCs/>
        </w:rPr>
        <w:t xml:space="preserve">compound abbreviation</w:t>
      </w:r>
      <w:r>
        <w:t xml:space="preserve">, not a new name that proves agency. It includes actual action, control, and intention. Intelligence and freedom have not been derived from existence. T adds effective production; an intention does not produce its outcome merely by being intended. Possibility, reasons, voluntary control, efficacy, and cognitive adequacy still require independent arguments.</w:t>
      </w:r>
    </w:p>
    <w:p>
      <w:pPr>
        <w:pStyle w:val="BodyText"/>
      </w:pPr>
      <w:r>
        <w:t xml:space="preserve">The inherited argument from dependence on constituents, together with U, excludes proper intrinsic constituents that make the source dependent. It does not classify every distinction as a part. Nor does having no proper parts establish intrinsic invariance: remaining the same in one’s own being across alternatives.</w:t>
      </w:r>
    </w:p>
    <w:p>
      <w:pPr>
        <w:pStyle w:val="BodyText"/>
      </w:pPr>
      <w:r>
        <w:t xml:space="preserve">The conditional argument is:</w:t>
      </w:r>
    </w:p>
    <w:p>
      <w:pPr>
        <w:pStyle w:val="SourceCode"/>
      </w:pPr>
      <w:r>
        <w:rPr>
          <w:rStyle w:val="VerbatimChar"/>
        </w:rPr>
        <w:t xml:space="preserve">S(g,e,p) + T(e,x)</w:t>
      </w:r>
      <w:r>
        <w:br/>
      </w:r>
      <w:r>
        <w:rPr>
          <w:rStyle w:val="VerbatimChar"/>
        </w:rPr>
        <w:t xml:space="preserve">    ⇒ an intentional action that effectively produces x</w:t>
      </w:r>
      <w:r>
        <w:br/>
      </w:r>
      <w:r>
        <w:br/>
      </w:r>
      <w:r>
        <w:rPr>
          <w:rStyle w:val="VerbatimChar"/>
        </w:rPr>
        <w:t xml:space="preserve">S(g,e,p) + T(e,x) + SelfAccess(g,e)</w:t>
      </w:r>
      <w:r>
        <w:br/>
      </w:r>
      <w:r>
        <w:rPr>
          <w:rStyle w:val="VerbatimChar"/>
        </w:rPr>
        <w:t xml:space="preserve">    + Transparency(e,x) + Warrant(g,e)</w:t>
      </w:r>
      <w:r>
        <w:br/>
      </w:r>
      <w:r>
        <w:rPr>
          <w:rStyle w:val="VerbatimChar"/>
        </w:rPr>
        <w:t xml:space="preserve">    ⇒ justified knowledge of x through the action</w:t>
      </w:r>
    </w:p>
    <w:p>
      <w:pPr>
        <w:pStyle w:val="FirstParagraph"/>
      </w:pPr>
      <w:r>
        <w:t xml:space="preserve">The second conclusion applies only within its stated scope. Knowing a power or all possible plans does not disclose which action is actual. Truth alone, matching true beliefs, or a</w:t>
      </w:r>
      <w:r>
        <w:t xml:space="preserve"> </w:t>
      </w:r>
      <w:r>
        <w:t xml:space="preserve">“</w:t>
      </w:r>
      <w:r>
        <w:t xml:space="preserve">knowledge</w:t>
      </w:r>
      <w:r>
        <w:t xml:space="preserve">”</w:t>
      </w:r>
      <w:r>
        <w:t xml:space="preserve"> </w:t>
      </w:r>
      <w:r>
        <w:t xml:space="preserve">label does not establish an adequate route to knowledge. Freely permitted creaturely acts require further access where their particular choices are neither determined nor disclosed by God’s initiating action. Knowledge of events in time also needs its own account.</w:t>
      </w:r>
    </w:p>
    <w:bookmarkEnd w:id="383"/>
    <w:bookmarkStart w:id="384" w:name="six-cases-sixteen-variants"/>
    <w:p>
      <w:pPr>
        <w:pStyle w:val="Heading3"/>
      </w:pPr>
      <w:r>
        <w:t xml:space="preserve">Six cases, sixteen variants</w:t>
      </w:r>
    </w:p>
    <w:p>
      <w:pPr>
        <w:pStyle w:val="FirstParagraph"/>
      </w:pPr>
      <w:r>
        <w:t xml:space="preserve">The inspector distinguishes intrinsic facts, relationships, actions, control, intentions, explanatory roles, what realizes those roles, representations, truth, access, justification, knowledge, capacities, choices, absences, constituents, and dependence. Missing records mean</w:t>
      </w:r>
      <w:r>
        <w:t xml:space="preserve"> </w:t>
      </w:r>
      <w:r>
        <w:t xml:space="preserve">“</w:t>
      </w:r>
      <w:r>
        <w:t xml:space="preserve">not supplied in this display,</w:t>
      </w:r>
      <w:r>
        <w:t xml:space="preserve">”</w:t>
      </w:r>
      <w:r>
        <w:t xml:space="preserve"> </w:t>
      </w:r>
      <w:r>
        <w:t xml:space="preserve">rather than universal nonexistence.</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Case</w:t>
            </w:r>
          </w:p>
        </w:tc>
        <w:tc>
          <w:tcPr>
            <w:tcW w:type="dxa" w:w="2749"/>
            <w:shd w:fill="EAE5DA"/>
          </w:tcPr>
          <w:p>
            <w:pPr>
              <w:pStyle w:val="BodyText"/>
              <w:keepNext w:val="0"/>
              <w:spacing w:after="80" w:line="252" w:lineRule="auto"/>
              <w:jc w:val="left"/>
            </w:pPr>
            <w:r>
              <w:rPr>
                <w:rFonts w:ascii="Calibri" w:hAnsi="Calibri"/>
                <w:b/>
                <w:sz w:val="17"/>
              </w:rPr>
              <w:t xml:space="preserve">Variants</w:t>
            </w:r>
          </w:p>
        </w:tc>
        <w:tc>
          <w:tcPr>
            <w:tcW w:type="dxa" w:w="2749"/>
            <w:shd w:fill="EAE5DA"/>
          </w:tcPr>
          <w:p>
            <w:pPr>
              <w:pStyle w:val="BodyText"/>
              <w:keepNext w:val="0"/>
              <w:spacing w:after="80" w:line="252" w:lineRule="auto"/>
              <w:jc w:val="left"/>
            </w:pPr>
            <w:r>
              <w:rPr>
                <w:rFonts w:ascii="Calibri" w:hAnsi="Calibri"/>
                <w:b/>
                <w:sz w:val="17"/>
              </w:rPr>
              <w:t xml:space="preserve">What the display tests</w:t>
            </w:r>
          </w:p>
        </w:tc>
        <w:tc>
          <w:tcPr>
            <w:tcW w:type="dxa" w:w="2749"/>
            <w:shd w:fill="EAE5DA"/>
          </w:tcPr>
          <w:p>
            <w:pPr>
              <w:pStyle w:val="BodyText"/>
              <w:keepNext w:val="0"/>
              <w:spacing w:after="80" w:line="252" w:lineRule="auto"/>
              <w:jc w:val="left"/>
            </w:pPr>
            <w:r>
              <w:rPr>
                <w:rFonts w:ascii="Calibri" w:hAnsi="Calibri"/>
                <w:b/>
                <w:sz w:val="17"/>
              </w:rPr>
              <w:t xml:space="preserve">What it does not prove</w:t>
            </w:r>
          </w:p>
        </w:tc>
      </w:tr>
      <w:tr>
        <w:tc>
          <w:tcPr>
            <w:tcW w:type="dxa" w:w="1689"/>
          </w:tcPr>
          <w:p>
            <w:pPr>
              <w:pStyle w:val="BodyText"/>
              <w:keepNext w:val="0"/>
              <w:spacing w:after="80" w:line="252" w:lineRule="auto"/>
              <w:jc w:val="left"/>
            </w:pPr>
            <w:r>
              <w:rPr>
                <w:rFonts w:ascii="Calibri" w:hAnsi="Calibri"/>
                <w:sz w:val="17"/>
              </w:rPr>
              <w:t xml:space="preserve">One light, different receptions</w:t>
            </w:r>
          </w:p>
        </w:tc>
        <w:tc>
          <w:tcPr>
            <w:tcW w:type="dxa" w:w="2749"/>
          </w:tcPr>
          <w:p>
            <w:pPr>
              <w:pStyle w:val="BodyText"/>
              <w:keepNext w:val="0"/>
              <w:spacing w:after="80" w:line="252" w:lineRule="auto"/>
              <w:jc w:val="left"/>
            </w:pPr>
            <w:r>
              <w:rPr>
                <w:rFonts w:ascii="Calibri" w:hAnsi="Calibri"/>
                <w:sz w:val="17"/>
              </w:rPr>
              <w:t xml:space="preserve">Recipient moves; observer-only relative change</w:t>
            </w:r>
          </w:p>
        </w:tc>
        <w:tc>
          <w:tcPr>
            <w:tcW w:type="dxa" w:w="2749"/>
          </w:tcPr>
          <w:p>
            <w:pPr>
              <w:pStyle w:val="BodyText"/>
              <w:keepNext w:val="0"/>
              <w:spacing w:after="80" w:line="252" w:lineRule="auto"/>
              <w:jc w:val="left"/>
            </w:pPr>
            <w:r>
              <w:rPr>
                <w:rFonts w:ascii="Calibri" w:hAnsi="Calibri"/>
                <w:sz w:val="17"/>
              </w:rPr>
              <w:t xml:space="preserve">Received light can vary with recipient conditions while recorded radiant power stays steady. A changed relative description does not establish causal action.</w:t>
            </w:r>
          </w:p>
        </w:tc>
        <w:tc>
          <w:tcPr>
            <w:tcW w:type="dxa" w:w="2749"/>
          </w:tcPr>
          <w:p>
            <w:pPr>
              <w:pStyle w:val="BodyText"/>
              <w:keepNext w:val="0"/>
              <w:spacing w:after="80" w:line="252" w:lineRule="auto"/>
              <w:jc w:val="left"/>
            </w:pPr>
            <w:r>
              <w:rPr>
                <w:rFonts w:ascii="Calibri" w:hAnsi="Calibri"/>
                <w:sz w:val="17"/>
              </w:rPr>
              <w:t xml:space="preserve">Every intrinsic lamp property is invariant, or God is simple.</w:t>
            </w:r>
          </w:p>
        </w:tc>
      </w:tr>
      <w:tr>
        <w:tc>
          <w:tcPr>
            <w:tcW w:type="dxa" w:w="1689"/>
          </w:tcPr>
          <w:p>
            <w:pPr>
              <w:pStyle w:val="BodyText"/>
              <w:keepNext w:val="0"/>
              <w:spacing w:after="80" w:line="252" w:lineRule="auto"/>
              <w:jc w:val="left"/>
            </w:pPr>
            <w:r>
              <w:rPr>
                <w:rFonts w:ascii="Calibri" w:hAnsi="Calibri"/>
                <w:sz w:val="17"/>
              </w:rPr>
              <w:t xml:space="preserve">One gift, different intended goods</w:t>
            </w:r>
          </w:p>
        </w:tc>
        <w:tc>
          <w:tcPr>
            <w:tcW w:type="dxa" w:w="2749"/>
          </w:tcPr>
          <w:p>
            <w:pPr>
              <w:pStyle w:val="BodyText"/>
              <w:keepNext w:val="0"/>
              <w:spacing w:after="80" w:line="252" w:lineRule="auto"/>
              <w:jc w:val="left"/>
            </w:pPr>
            <w:r>
              <w:rPr>
                <w:rFonts w:ascii="Calibri" w:hAnsi="Calibri"/>
                <w:sz w:val="17"/>
              </w:rPr>
              <w:t xml:space="preserve">Two controlled gifts; accidental benefit</w:t>
            </w:r>
          </w:p>
        </w:tc>
        <w:tc>
          <w:tcPr>
            <w:tcW w:type="dxa" w:w="2749"/>
          </w:tcPr>
          <w:p>
            <w:pPr>
              <w:pStyle w:val="BodyText"/>
              <w:keepNext w:val="0"/>
              <w:spacing w:after="80" w:line="252" w:lineRule="auto"/>
              <w:jc w:val="left"/>
            </w:pPr>
            <w:r>
              <w:rPr>
                <w:rFonts w:ascii="Calibri" w:hAnsi="Calibri"/>
                <w:sz w:val="17"/>
              </w:rPr>
              <w:t xml:space="preserve">The same recorded blanket outcome can serve different controlled intentions. Warmth alone does not establish an intentional gift.</w:t>
            </w:r>
          </w:p>
        </w:tc>
        <w:tc>
          <w:tcPr>
            <w:tcW w:type="dxa" w:w="2749"/>
          </w:tcPr>
          <w:p>
            <w:pPr>
              <w:pStyle w:val="BodyText"/>
              <w:keepNext w:val="0"/>
              <w:spacing w:after="80" w:line="252" w:lineRule="auto"/>
              <w:jc w:val="left"/>
            </w:pPr>
            <w:r>
              <w:rPr>
                <w:rFonts w:ascii="Calibri" w:hAnsi="Calibri"/>
                <w:sz w:val="17"/>
              </w:rPr>
              <w:t xml:space="preserve">Human intention is extrinsic, or divine intention must be relational.</w:t>
            </w:r>
          </w:p>
        </w:tc>
      </w:tr>
      <w:tr>
        <w:tc>
          <w:tcPr>
            <w:tcW w:type="dxa" w:w="1689"/>
          </w:tcPr>
          <w:p>
            <w:pPr>
              <w:pStyle w:val="BodyText"/>
              <w:keepNext w:val="0"/>
              <w:spacing w:after="80" w:line="252" w:lineRule="auto"/>
              <w:jc w:val="left"/>
            </w:pPr>
            <w:r>
              <w:rPr>
                <w:rFonts w:ascii="Calibri" w:hAnsi="Calibri"/>
                <w:sz w:val="17"/>
              </w:rPr>
              <w:t xml:space="preserve">Different descriptions</w:t>
            </w:r>
          </w:p>
        </w:tc>
        <w:tc>
          <w:tcPr>
            <w:tcW w:type="dxa" w:w="2749"/>
          </w:tcPr>
          <w:p>
            <w:pPr>
              <w:pStyle w:val="BodyText"/>
              <w:keepNext w:val="0"/>
              <w:spacing w:after="80" w:line="252" w:lineRule="auto"/>
              <w:jc w:val="left"/>
            </w:pPr>
            <w:r>
              <w:rPr>
                <w:rFonts w:ascii="Calibri" w:hAnsi="Calibri"/>
                <w:sz w:val="17"/>
              </w:rPr>
              <w:t xml:space="preserve">Roles alone; one assigned realizer; two assigned realizers</w:t>
            </w:r>
          </w:p>
        </w:tc>
        <w:tc>
          <w:tcPr>
            <w:tcW w:type="dxa" w:w="2749"/>
          </w:tcPr>
          <w:p>
            <w:pPr>
              <w:pStyle w:val="BodyText"/>
              <w:keepNext w:val="0"/>
              <w:spacing w:after="80" w:line="252" w:lineRule="auto"/>
              <w:jc w:val="left"/>
            </w:pPr>
            <w:r>
              <w:rPr>
                <w:rFonts w:ascii="Calibri" w:hAnsi="Calibri"/>
                <w:sz w:val="17"/>
              </w:rPr>
              <w:t xml:space="preserve">Different role names leave open what realizes them. Assigning one or two realizers adds information.</w:t>
            </w:r>
          </w:p>
        </w:tc>
        <w:tc>
          <w:tcPr>
            <w:tcW w:type="dxa" w:w="2749"/>
          </w:tcPr>
          <w:p>
            <w:pPr>
              <w:pStyle w:val="BodyText"/>
              <w:keepNext w:val="0"/>
              <w:spacing w:after="80" w:line="252" w:lineRule="auto"/>
              <w:jc w:val="left"/>
            </w:pPr>
            <w:r>
              <w:rPr>
                <w:rFonts w:ascii="Calibri" w:hAnsi="Calibri"/>
                <w:sz w:val="17"/>
              </w:rPr>
              <w:t xml:space="preserve">One realizer proves simplicity, or two realizers establish dependence on constituents.</w:t>
            </w:r>
          </w:p>
        </w:tc>
      </w:tr>
      <w:tr>
        <w:tc>
          <w:tcPr>
            <w:tcW w:type="dxa" w:w="1689"/>
          </w:tcPr>
          <w:p>
            <w:pPr>
              <w:pStyle w:val="BodyText"/>
              <w:keepNext w:val="0"/>
              <w:spacing w:after="80" w:line="252" w:lineRule="auto"/>
              <w:jc w:val="left"/>
            </w:pPr>
            <w:r>
              <w:rPr>
                <w:rFonts w:ascii="Calibri" w:hAnsi="Calibri"/>
                <w:sz w:val="17"/>
              </w:rPr>
              <w:t xml:space="preserve">Knowledge claims</w:t>
            </w:r>
          </w:p>
        </w:tc>
        <w:tc>
          <w:tcPr>
            <w:tcW w:type="dxa" w:w="2749"/>
          </w:tcPr>
          <w:p>
            <w:pPr>
              <w:pStyle w:val="BodyText"/>
              <w:keepNext w:val="0"/>
              <w:spacing w:after="80" w:line="252" w:lineRule="auto"/>
              <w:jc w:val="left"/>
            </w:pPr>
            <w:r>
              <w:rPr>
                <w:rFonts w:ascii="Calibri" w:hAnsi="Calibri"/>
                <w:sz w:val="17"/>
              </w:rPr>
              <w:t xml:space="preserve">Justified access; lucky truth; unsupported knowledge label</w:t>
            </w:r>
          </w:p>
        </w:tc>
        <w:tc>
          <w:tcPr>
            <w:tcW w:type="dxa" w:w="2749"/>
          </w:tcPr>
          <w:p>
            <w:pPr>
              <w:pStyle w:val="BodyText"/>
              <w:keepNext w:val="0"/>
              <w:spacing w:after="80" w:line="252" w:lineRule="auto"/>
              <w:jc w:val="left"/>
            </w:pPr>
            <w:r>
              <w:rPr>
                <w:rFonts w:ascii="Calibri" w:hAnsi="Calibri"/>
                <w:sz w:val="17"/>
              </w:rPr>
              <w:t xml:space="preserve">Truth, access, justification, and a knowledge claim are checked separately. The label alone supplies no justification.</w:t>
            </w:r>
          </w:p>
        </w:tc>
        <w:tc>
          <w:tcPr>
            <w:tcW w:type="dxa" w:w="2749"/>
          </w:tcPr>
          <w:p>
            <w:pPr>
              <w:pStyle w:val="BodyText"/>
              <w:keepNext w:val="0"/>
              <w:spacing w:after="80" w:line="252" w:lineRule="auto"/>
              <w:jc w:val="left"/>
            </w:pPr>
            <w:r>
              <w:rPr>
                <w:rFonts w:ascii="Calibri" w:hAnsi="Calibri"/>
                <w:sz w:val="17"/>
              </w:rPr>
              <w:t xml:space="preserve">A complete theory of knowledge, or divine knowledge without learning from effects.</w:t>
            </w:r>
          </w:p>
        </w:tc>
      </w:tr>
      <w:tr>
        <w:tc>
          <w:tcPr>
            <w:tcW w:type="dxa" w:w="1689"/>
          </w:tcPr>
          <w:p>
            <w:pPr>
              <w:pStyle w:val="BodyText"/>
              <w:keepNext w:val="0"/>
              <w:spacing w:after="80" w:line="252" w:lineRule="auto"/>
              <w:jc w:val="left"/>
            </w:pPr>
            <w:r>
              <w:rPr>
                <w:rFonts w:ascii="Calibri" w:hAnsi="Calibri"/>
                <w:sz w:val="17"/>
              </w:rPr>
              <w:t xml:space="preserve">An absent outward effect</w:t>
            </w:r>
          </w:p>
        </w:tc>
        <w:tc>
          <w:tcPr>
            <w:tcW w:type="dxa" w:w="2749"/>
          </w:tcPr>
          <w:p>
            <w:pPr>
              <w:pStyle w:val="BodyText"/>
              <w:keepNext w:val="0"/>
              <w:spacing w:after="80" w:line="252" w:lineRule="auto"/>
              <w:jc w:val="left"/>
            </w:pPr>
            <w:r>
              <w:rPr>
                <w:rFonts w:ascii="Calibri" w:hAnsi="Calibri"/>
                <w:sz w:val="17"/>
              </w:rPr>
              <w:t xml:space="preserve">Deliberate restraint; incapacity; absence alone</w:t>
            </w:r>
          </w:p>
        </w:tc>
        <w:tc>
          <w:tcPr>
            <w:tcW w:type="dxa" w:w="2749"/>
          </w:tcPr>
          <w:p>
            <w:pPr>
              <w:pStyle w:val="BodyText"/>
              <w:keepNext w:val="0"/>
              <w:spacing w:after="80" w:line="252" w:lineRule="auto"/>
              <w:jc w:val="left"/>
            </w:pPr>
            <w:r>
              <w:rPr>
                <w:rFonts w:ascii="Calibri" w:hAnsi="Calibri"/>
                <w:sz w:val="17"/>
              </w:rPr>
              <w:t xml:space="preserve">Deliberately refraining needs positive capacity, control, intention, and choice.</w:t>
            </w:r>
          </w:p>
        </w:tc>
        <w:tc>
          <w:tcPr>
            <w:tcW w:type="dxa" w:w="2749"/>
          </w:tcPr>
          <w:p>
            <w:pPr>
              <w:pStyle w:val="BodyText"/>
              <w:keepNext w:val="0"/>
              <w:spacing w:after="80" w:line="252" w:lineRule="auto"/>
              <w:jc w:val="left"/>
            </w:pPr>
            <w:r>
              <w:rPr>
                <w:rFonts w:ascii="Calibri" w:hAnsi="Calibri"/>
                <w:sz w:val="17"/>
              </w:rPr>
              <w:t xml:space="preserve">God can refrain from creation, or an empty set of effects establishes a free choice.</w:t>
            </w:r>
          </w:p>
        </w:tc>
      </w:tr>
      <w:tr>
        <w:tc>
          <w:tcPr>
            <w:tcW w:type="dxa" w:w="1689"/>
          </w:tcPr>
          <w:p>
            <w:pPr>
              <w:pStyle w:val="BodyText"/>
              <w:keepNext w:val="0"/>
              <w:spacing w:after="80" w:line="252" w:lineRule="auto"/>
              <w:jc w:val="left"/>
            </w:pPr>
            <w:r>
              <w:rPr>
                <w:rFonts w:ascii="Calibri" w:hAnsi="Calibri"/>
                <w:sz w:val="17"/>
              </w:rPr>
              <w:t xml:space="preserve">Conditional divine-action model</w:t>
            </w:r>
          </w:p>
        </w:tc>
        <w:tc>
          <w:tcPr>
            <w:tcW w:type="dxa" w:w="2749"/>
          </w:tcPr>
          <w:p>
            <w:pPr>
              <w:pStyle w:val="BodyText"/>
              <w:keepNext w:val="0"/>
              <w:spacing w:after="80" w:line="252" w:lineRule="auto"/>
              <w:jc w:val="left"/>
            </w:pPr>
            <w:r>
              <w:rPr>
                <w:rFonts w:ascii="Calibri" w:hAnsi="Calibri"/>
                <w:sz w:val="17"/>
              </w:rPr>
              <w:t xml:space="preserve">Relational action; the same powers alone; intrinsic differences in intention</w:t>
            </w:r>
          </w:p>
        </w:tc>
        <w:tc>
          <w:tcPr>
            <w:tcW w:type="dxa" w:w="2749"/>
          </w:tcPr>
          <w:p>
            <w:pPr>
              <w:pStyle w:val="BodyText"/>
              <w:keepNext w:val="0"/>
              <w:spacing w:after="80" w:line="252" w:lineRule="auto"/>
              <w:jc w:val="left"/>
            </w:pPr>
            <w:r>
              <w:rPr>
                <w:rFonts w:ascii="Calibri" w:hAnsi="Calibri"/>
                <w:sz w:val="17"/>
              </w:rPr>
              <w:t xml:space="preserve">Actual controlled choices require more than a description of powers. Intrinsic differences need not assign proper parts in these sparse records.</w:t>
            </w:r>
          </w:p>
        </w:tc>
        <w:tc>
          <w:tcPr>
            <w:tcW w:type="dxa" w:w="2749"/>
          </w:tcPr>
          <w:p>
            <w:pPr>
              <w:pStyle w:val="BodyText"/>
              <w:keepNext w:val="0"/>
              <w:spacing w:after="80" w:line="252" w:lineRule="auto"/>
              <w:jc w:val="left"/>
            </w:pPr>
            <w:r>
              <w:rPr>
                <w:rFonts w:ascii="Calibri" w:hAnsi="Calibri"/>
                <w:sz w:val="17"/>
              </w:rPr>
              <w:t xml:space="preserve">Genuine metaphysical possibility, full simplicity, or exhaustive divine awareness.</w:t>
            </w:r>
          </w:p>
        </w:tc>
      </w:tr>
    </w:tbl>
    <w:p>
      <w:pPr>
        <w:pStyle w:val="BodyText"/>
      </w:pPr>
      <w:r>
        <w:t xml:space="preserve">The divine-action case compares</w:t>
      </w:r>
      <w:r>
        <w:t xml:space="preserve"> </w:t>
      </w:r>
      <w:r>
        <w:rPr>
          <w:rStyle w:val="VerbatimChar"/>
        </w:rPr>
        <w:t xml:space="preserve">wA</w:t>
      </w:r>
      <w:r>
        <w:t xml:space="preserve"> </w:t>
      </w:r>
      <w:r>
        <w:t xml:space="preserve">and</w:t>
      </w:r>
      <w:r>
        <w:t xml:space="preserve"> </w:t>
      </w:r>
      <w:r>
        <w:rPr>
          <w:rStyle w:val="VerbatimChar"/>
        </w:rPr>
        <w:t xml:space="preserve">wB</w:t>
      </w:r>
      <w:r>
        <w:t xml:space="preserve"> </w:t>
      </w:r>
      <w:r>
        <w:t xml:space="preserve">as alternatives, rather than temporal stages of God. It assumes unreceived power in both. In the relational variant, actual controlled actions differ while displayed intrinsic facts match. In the intrinsic-variance variant, different intrinsic intentions are assigned without proper parts or incoming dependence. In the profile-only variant, no actual choice is assigned. Matching displayed facts does not establish that they exhaust God’s intrinsic reality.</w:t>
      </w:r>
    </w:p>
    <w:bookmarkEnd w:id="384"/>
    <w:bookmarkStart w:id="385" w:name="Xd71fd222a46095c6f613818ea153bfded24c4f6"/>
    <w:p>
      <w:pPr>
        <w:pStyle w:val="Heading3"/>
      </w:pPr>
      <w:r>
        <w:t xml:space="preserve">Removing an assumption: losses within the proposed explanation</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Removed assumption</w:t>
            </w:r>
          </w:p>
        </w:tc>
        <w:tc>
          <w:tcPr>
            <w:tcW w:type="dxa" w:w="3312"/>
            <w:shd w:fill="EAE5DA"/>
          </w:tcPr>
          <w:p>
            <w:pPr>
              <w:pStyle w:val="BodyText"/>
              <w:keepNext w:val="0"/>
              <w:spacing w:after="80" w:line="252" w:lineRule="auto"/>
              <w:jc w:val="left"/>
            </w:pPr>
            <w:r>
              <w:rPr>
                <w:rFonts w:ascii="Calibri" w:hAnsi="Calibri"/>
                <w:b/>
                <w:sz w:val="17"/>
              </w:rPr>
              <w:t xml:space="preserve">What remains</w:t>
            </w:r>
          </w:p>
        </w:tc>
        <w:tc>
          <w:tcPr>
            <w:tcW w:type="dxa" w:w="3312"/>
            <w:shd w:fill="EAE5DA"/>
          </w:tcPr>
          <w:p>
            <w:pPr>
              <w:pStyle w:val="BodyText"/>
              <w:keepNext w:val="0"/>
              <w:spacing w:after="80" w:line="252" w:lineRule="auto"/>
              <w:jc w:val="left"/>
            </w:pPr>
            <w:r>
              <w:rPr>
                <w:rFonts w:ascii="Calibri" w:hAnsi="Calibri"/>
                <w:b/>
                <w:sz w:val="17"/>
              </w:rPr>
              <w:t xml:space="preserve">What the explanation loses</w:t>
            </w:r>
          </w:p>
        </w:tc>
      </w:tr>
      <w:tr>
        <w:tc>
          <w:tcPr>
            <w:tcW w:type="dxa" w:w="3312"/>
          </w:tcPr>
          <w:p>
            <w:pPr>
              <w:pStyle w:val="BodyText"/>
              <w:keepNext w:val="0"/>
              <w:spacing w:after="80" w:line="252" w:lineRule="auto"/>
              <w:jc w:val="left"/>
            </w:pPr>
            <w:r>
              <w:rPr>
                <w:rFonts w:ascii="Calibri" w:hAnsi="Calibri"/>
                <w:sz w:val="17"/>
              </w:rPr>
              <w:t xml:space="preserve">Recipient conditions</w:t>
            </w:r>
          </w:p>
        </w:tc>
        <w:tc>
          <w:tcPr>
            <w:tcW w:type="dxa" w:w="3312"/>
          </w:tcPr>
          <w:p>
            <w:pPr>
              <w:pStyle w:val="BodyText"/>
              <w:keepNext w:val="0"/>
              <w:spacing w:after="80" w:line="252" w:lineRule="auto"/>
              <w:jc w:val="left"/>
            </w:pPr>
            <w:r>
              <w:rPr>
                <w:rFonts w:ascii="Calibri" w:hAnsi="Calibri"/>
                <w:sz w:val="17"/>
              </w:rPr>
              <w:t xml:space="preserve">Source and described effect</w:t>
            </w:r>
          </w:p>
        </w:tc>
        <w:tc>
          <w:tcPr>
            <w:tcW w:type="dxa" w:w="3312"/>
          </w:tcPr>
          <w:p>
            <w:pPr>
              <w:pStyle w:val="BodyText"/>
              <w:keepNext w:val="0"/>
              <w:spacing w:after="80" w:line="252" w:lineRule="auto"/>
              <w:jc w:val="left"/>
            </w:pPr>
            <w:r>
              <w:rPr>
                <w:rFonts w:ascii="Calibri" w:hAnsi="Calibri"/>
                <w:sz w:val="17"/>
              </w:rPr>
              <w:t xml:space="preserve">Differentiated reception lacks its proposed explanation; a rival mechanism may replace it.</w:t>
            </w:r>
          </w:p>
        </w:tc>
      </w:tr>
      <w:tr>
        <w:tc>
          <w:tcPr>
            <w:tcW w:type="dxa" w:w="3312"/>
          </w:tcPr>
          <w:p>
            <w:pPr>
              <w:pStyle w:val="BodyText"/>
              <w:keepNext w:val="0"/>
              <w:spacing w:after="80" w:line="252" w:lineRule="auto"/>
              <w:jc w:val="left"/>
            </w:pPr>
            <w:r>
              <w:rPr>
                <w:rFonts w:ascii="Calibri" w:hAnsi="Calibri"/>
                <w:sz w:val="17"/>
              </w:rPr>
              <w:t xml:space="preserve">Intention and control</w:t>
            </w:r>
          </w:p>
        </w:tc>
        <w:tc>
          <w:tcPr>
            <w:tcW w:type="dxa" w:w="3312"/>
          </w:tcPr>
          <w:p>
            <w:pPr>
              <w:pStyle w:val="BodyText"/>
              <w:keepNext w:val="0"/>
              <w:spacing w:after="80" w:line="252" w:lineRule="auto"/>
              <w:jc w:val="left"/>
            </w:pPr>
            <w:r>
              <w:rPr>
                <w:rFonts w:ascii="Calibri" w:hAnsi="Calibri"/>
                <w:sz w:val="17"/>
              </w:rPr>
              <w:t xml:space="preserve">Outcome or benefit</w:t>
            </w:r>
          </w:p>
        </w:tc>
        <w:tc>
          <w:tcPr>
            <w:tcW w:type="dxa" w:w="3312"/>
          </w:tcPr>
          <w:p>
            <w:pPr>
              <w:pStyle w:val="BodyText"/>
              <w:keepNext w:val="0"/>
              <w:spacing w:after="80" w:line="252" w:lineRule="auto"/>
              <w:jc w:val="left"/>
            </w:pPr>
            <w:r>
              <w:rPr>
                <w:rFonts w:ascii="Calibri" w:hAnsi="Calibri"/>
                <w:sz w:val="17"/>
              </w:rPr>
              <w:t xml:space="preserve">Intentional agency is unsupported; accidental benefit remains possible.</w:t>
            </w:r>
          </w:p>
        </w:tc>
      </w:tr>
      <w:tr>
        <w:tc>
          <w:tcPr>
            <w:tcW w:type="dxa" w:w="3312"/>
          </w:tcPr>
          <w:p>
            <w:pPr>
              <w:pStyle w:val="BodyText"/>
              <w:keepNext w:val="0"/>
              <w:spacing w:after="80" w:line="252" w:lineRule="auto"/>
              <w:jc w:val="left"/>
            </w:pPr>
            <w:r>
              <w:rPr>
                <w:rFonts w:ascii="Calibri" w:hAnsi="Calibri"/>
                <w:sz w:val="17"/>
              </w:rPr>
              <w:t xml:space="preserve">Actual action</w:t>
            </w:r>
          </w:p>
        </w:tc>
        <w:tc>
          <w:tcPr>
            <w:tcW w:type="dxa" w:w="3312"/>
          </w:tcPr>
          <w:p>
            <w:pPr>
              <w:pStyle w:val="BodyText"/>
              <w:keepNext w:val="0"/>
              <w:spacing w:after="80" w:line="252" w:lineRule="auto"/>
              <w:jc w:val="left"/>
            </w:pPr>
            <w:r>
              <w:rPr>
                <w:rFonts w:ascii="Calibri" w:hAnsi="Calibri"/>
                <w:sz w:val="17"/>
              </w:rPr>
              <w:t xml:space="preserve">Power, possible intention, and reasons</w:t>
            </w:r>
          </w:p>
        </w:tc>
        <w:tc>
          <w:tcPr>
            <w:tcW w:type="dxa" w:w="3312"/>
          </w:tcPr>
          <w:p>
            <w:pPr>
              <w:pStyle w:val="BodyText"/>
              <w:keepNext w:val="0"/>
              <w:spacing w:after="80" w:line="252" w:lineRule="auto"/>
              <w:jc w:val="left"/>
            </w:pPr>
            <w:r>
              <w:rPr>
                <w:rFonts w:ascii="Calibri" w:hAnsi="Calibri"/>
                <w:sz w:val="17"/>
              </w:rPr>
              <w:t xml:space="preserve">Capacity alone establishes no actual choice.</w:t>
            </w:r>
          </w:p>
        </w:tc>
      </w:tr>
      <w:tr>
        <w:tc>
          <w:tcPr>
            <w:tcW w:type="dxa" w:w="3312"/>
          </w:tcPr>
          <w:p>
            <w:pPr>
              <w:pStyle w:val="BodyText"/>
              <w:keepNext w:val="0"/>
              <w:spacing w:after="80" w:line="252" w:lineRule="auto"/>
              <w:jc w:val="left"/>
            </w:pPr>
            <w:r>
              <w:rPr>
                <w:rFonts w:ascii="Calibri" w:hAnsi="Calibri"/>
                <w:sz w:val="17"/>
              </w:rPr>
              <w:t xml:space="preserve">Producing the intended outcome</w:t>
            </w:r>
          </w:p>
        </w:tc>
        <w:tc>
          <w:tcPr>
            <w:tcW w:type="dxa" w:w="3312"/>
          </w:tcPr>
          <w:p>
            <w:pPr>
              <w:pStyle w:val="BodyText"/>
              <w:keepNext w:val="0"/>
              <w:spacing w:after="80" w:line="252" w:lineRule="auto"/>
              <w:jc w:val="left"/>
            </w:pPr>
            <w:r>
              <w:rPr>
                <w:rFonts w:ascii="Calibri" w:hAnsi="Calibri"/>
                <w:sz w:val="17"/>
              </w:rPr>
              <w:t xml:space="preserve">Intention</w:t>
            </w:r>
          </w:p>
        </w:tc>
        <w:tc>
          <w:tcPr>
            <w:tcW w:type="dxa" w:w="3312"/>
          </w:tcPr>
          <w:p>
            <w:pPr>
              <w:pStyle w:val="BodyText"/>
              <w:keepNext w:val="0"/>
              <w:spacing w:after="80" w:line="252" w:lineRule="auto"/>
              <w:jc w:val="left"/>
            </w:pPr>
            <w:r>
              <w:rPr>
                <w:rFonts w:ascii="Calibri" w:hAnsi="Calibri"/>
                <w:sz w:val="17"/>
              </w:rPr>
              <w:t xml:space="preserve">Success and the connection between intention and outcome remain unestablished.</w:t>
            </w:r>
          </w:p>
        </w:tc>
      </w:tr>
      <w:tr>
        <w:tc>
          <w:tcPr>
            <w:tcW w:type="dxa" w:w="3312"/>
          </w:tcPr>
          <w:p>
            <w:pPr>
              <w:pStyle w:val="BodyText"/>
              <w:keepNext w:val="0"/>
              <w:spacing w:after="80" w:line="252" w:lineRule="auto"/>
              <w:jc w:val="left"/>
            </w:pPr>
            <w:r>
              <w:rPr>
                <w:rFonts w:ascii="Calibri" w:hAnsi="Calibri"/>
                <w:sz w:val="17"/>
              </w:rPr>
              <w:t xml:space="preserve">Access and justification</w:t>
            </w:r>
          </w:p>
        </w:tc>
        <w:tc>
          <w:tcPr>
            <w:tcW w:type="dxa" w:w="3312"/>
          </w:tcPr>
          <w:p>
            <w:pPr>
              <w:pStyle w:val="BodyText"/>
              <w:keepNext w:val="0"/>
              <w:spacing w:after="80" w:line="252" w:lineRule="auto"/>
              <w:jc w:val="left"/>
            </w:pPr>
            <w:r>
              <w:rPr>
                <w:rFonts w:ascii="Calibri" w:hAnsi="Calibri"/>
                <w:sz w:val="17"/>
              </w:rPr>
              <w:t xml:space="preserve">A true representation</w:t>
            </w:r>
          </w:p>
        </w:tc>
        <w:tc>
          <w:tcPr>
            <w:tcW w:type="dxa" w:w="3312"/>
          </w:tcPr>
          <w:p>
            <w:pPr>
              <w:pStyle w:val="BodyText"/>
              <w:keepNext w:val="0"/>
              <w:spacing w:after="80" w:line="252" w:lineRule="auto"/>
              <w:jc w:val="left"/>
            </w:pPr>
            <w:r>
              <w:rPr>
                <w:rFonts w:ascii="Calibri" w:hAnsi="Calibri"/>
                <w:sz w:val="17"/>
              </w:rPr>
              <w:t xml:space="preserve">Demonstrated knowledge is lost; another justified route may replace the proposed one.</w:t>
            </w:r>
          </w:p>
        </w:tc>
      </w:tr>
      <w:tr>
        <w:tc>
          <w:tcPr>
            <w:tcW w:type="dxa" w:w="3312"/>
          </w:tcPr>
          <w:p>
            <w:pPr>
              <w:pStyle w:val="BodyText"/>
              <w:keepNext w:val="0"/>
              <w:spacing w:after="80" w:line="252" w:lineRule="auto"/>
              <w:jc w:val="left"/>
            </w:pPr>
            <w:r>
              <w:rPr>
                <w:rFonts w:ascii="Calibri" w:hAnsi="Calibri"/>
                <w:sz w:val="17"/>
              </w:rPr>
              <w:t xml:space="preserve">Intrinsic invariance</w:t>
            </w:r>
          </w:p>
        </w:tc>
        <w:tc>
          <w:tcPr>
            <w:tcW w:type="dxa" w:w="3312"/>
          </w:tcPr>
          <w:p>
            <w:pPr>
              <w:pStyle w:val="BodyText"/>
              <w:keepNext w:val="0"/>
              <w:spacing w:after="80" w:line="252" w:lineRule="auto"/>
              <w:jc w:val="left"/>
            </w:pPr>
            <w:r>
              <w:rPr>
                <w:rFonts w:ascii="Calibri" w:hAnsi="Calibri"/>
                <w:sz w:val="17"/>
              </w:rPr>
              <w:t xml:space="preserve">Underivation and absence of assigned parts</w:t>
            </w:r>
          </w:p>
        </w:tc>
        <w:tc>
          <w:tcPr>
            <w:tcW w:type="dxa" w:w="3312"/>
          </w:tcPr>
          <w:p>
            <w:pPr>
              <w:pStyle w:val="BodyText"/>
              <w:keepNext w:val="0"/>
              <w:spacing w:after="80" w:line="252" w:lineRule="auto"/>
              <w:jc w:val="left"/>
            </w:pPr>
            <w:r>
              <w:rPr>
                <w:rFonts w:ascii="Calibri" w:hAnsi="Calibri"/>
                <w:sz w:val="17"/>
              </w:rPr>
              <w:t xml:space="preserve">Intrinsic differences in intention remain an available rival.</w:t>
            </w:r>
          </w:p>
        </w:tc>
      </w:tr>
    </w:tbl>
    <w:p>
      <w:pPr>
        <w:pStyle w:val="BodyText"/>
      </w:pPr>
      <w:r>
        <w:t xml:space="preserve">These losses concern this explanatory path. They do not establish that every alternative lacks a substitute. The finite examples illustrate distinctions; they are not countermodels to a complete axiomatization of God. The advanced records are sparse candidate interpretations. No absolute theorem of axiom independence is claimed.</w:t>
      </w:r>
    </w:p>
    <w:bookmarkEnd w:id="385"/>
    <w:bookmarkStart w:id="386" w:name="rival-interpretations"/>
    <w:p>
      <w:pPr>
        <w:pStyle w:val="Heading3"/>
      </w:pPr>
      <w:r>
        <w:t xml:space="preserve">Rival interpretations</w:t>
      </w:r>
    </w:p>
    <w:p>
      <w:pPr>
        <w:pStyle w:val="FirstParagraph"/>
      </w:pPr>
      <w:r>
        <w:rPr>
          <w:b/>
          <w:bCs/>
        </w:rPr>
        <w:t xml:space="preserve">Necessary emanation</w:t>
      </w:r>
      <w:r>
        <w:t xml:space="preserve"> </w:t>
      </w:r>
      <w:r>
        <w:t xml:space="preserve">can retain an inexhaustible, underived source without proper parts while making one order necessary. Genuine alternatives and voluntary choice therefore need further arguments beyond non-exhaustion.</w:t>
      </w:r>
    </w:p>
    <w:p>
      <w:pPr>
        <w:pStyle w:val="BodyText"/>
      </w:pPr>
      <w:r>
        <w:rPr>
          <w:b/>
          <w:bCs/>
        </w:rPr>
        <w:t xml:space="preserve">A title explained by the outcome alone</w:t>
      </w:r>
      <w:r>
        <w:t xml:space="preserve"> </w:t>
      </w:r>
      <w:r>
        <w:t xml:space="preserve">makes</w:t>
      </w:r>
      <w:r>
        <w:t xml:space="preserve"> </w:t>
      </w:r>
      <w:r>
        <w:t xml:space="preserve">“</w:t>
      </w:r>
      <w:r>
        <w:t xml:space="preserve">creator of this order</w:t>
      </w:r>
      <w:r>
        <w:t xml:space="preserve">”</w:t>
      </w:r>
      <w:r>
        <w:t xml:space="preserve"> </w:t>
      </w:r>
      <w:r>
        <w:t xml:space="preserve">true through the relation to the created order. It may accurately describe dependence while leaving intentional choice unexplained.</w:t>
      </w:r>
    </w:p>
    <w:p>
      <w:pPr>
        <w:pStyle w:val="BodyText"/>
      </w:pPr>
      <w:r>
        <w:rPr>
          <w:b/>
          <w:bCs/>
        </w:rPr>
        <w:t xml:space="preserve">Intrinsic differences in divine intention</w:t>
      </w:r>
      <w:r>
        <w:t xml:space="preserve"> </w:t>
      </w:r>
      <w:r>
        <w:t xml:space="preserve">allows alternative intentions to differ intrinsically without proper parts or acquired actuality. Excluding parts alone does not rule this out.</w:t>
      </w:r>
    </w:p>
    <w:p>
      <w:pPr>
        <w:pStyle w:val="BodyText"/>
      </w:pPr>
      <w:r>
        <w:rPr>
          <w:b/>
          <w:bCs/>
        </w:rPr>
        <w:t xml:space="preserve">A relational account of free divine action</w:t>
      </w:r>
      <w:r>
        <w:t xml:space="preserve"> </w:t>
      </w:r>
      <w:r>
        <w:t xml:space="preserve">locates the contingent difference in God’s intentional relation to the intended creation while preserving God’s intrinsic being. Its advantage is an account of agency without divine completion. Its burden is explaining what makes the action this particular controlled action and how God knows it, without hiding an intrinsic difference behind relational terminology.</w:t>
      </w:r>
    </w:p>
    <w:bookmarkEnd w:id="386"/>
    <w:bookmarkStart w:id="387" w:name="where-the-claim-stops"/>
    <w:p>
      <w:pPr>
        <w:pStyle w:val="Heading3"/>
      </w:pPr>
      <w:r>
        <w:t xml:space="preserve">Where the claim stops</w:t>
      </w:r>
    </w:p>
    <w:p>
      <w:pPr>
        <w:pStyle w:val="FirstParagraph"/>
      </w:pPr>
      <w:r>
        <w:t xml:space="preserve">Actuality means that something is actual rather than merely possible. Individuation asks what makes it this particular thing or action, distinct from another. These are standard philosophical questions, not synonyms or answers in themselves. Intention, voluntary control, and adequate knowledge remain additional requirements. Changing the vocabulary to</w:t>
      </w:r>
      <w:r>
        <w:t xml:space="preserve"> </w:t>
      </w:r>
      <w:r>
        <w:t xml:space="preserve">“</w:t>
      </w:r>
      <w:r>
        <w:t xml:space="preserve">divine agency</w:t>
      </w:r>
      <w:r>
        <w:t xml:space="preserve">”</w:t>
      </w:r>
      <w:r>
        <w:t xml:space="preserve"> </w:t>
      </w:r>
      <w:r>
        <w:t xml:space="preserve">proves none of them.</w:t>
      </w:r>
    </w:p>
    <w:p>
      <w:pPr>
        <w:pStyle w:val="BodyText"/>
      </w:pPr>
      <w:r>
        <w:t xml:space="preserve">Finite examples justify distinctions; they do not establish divine intrinsic invariance. Trinitarian personal origins, created dependence, and Incarnation require different accounts and theological support. Neither the Trinity nor the Incarnation follows from this inspector.</w:t>
      </w:r>
    </w:p>
    <w:bookmarkEnd w:id="387"/>
    <w:bookmarkEnd w:id="388"/>
    <w:p>
      <w:pPr>
        <w:pStyle w:val="Heading1"/>
      </w:pPr>
      <w:r>
        <w:t xml:space="preserve">Appendix C — real-difference-sources.md</w:t>
      </w:r>
    </w:p>
    <w:p>
      <w:pPr>
        <w:pStyle w:val="FirstParagraph"/>
      </w:pPr>
      <w:r>
        <w:t xml:space="preserve">Original research file: https:/​/​participation-​6o4.​pages.​dev/​research/​real-​difference-​sources.​md</w:t>
      </w:r>
    </w:p>
    <w:bookmarkStart w:id="424" w:name="Xc707db1edeee5dac0d90cb26419e61e4147799b"/>
    <w:p>
      <w:pPr>
        <w:pStyle w:val="Heading2"/>
      </w:pPr>
      <w:r>
        <w:t xml:space="preserve">Divine Agency: Simplicity and Free Creation — source dossier</w:t>
      </w:r>
    </w:p>
    <w:bookmarkStart w:id="389" w:name="Xa6450c4cb08f94a8b1d8863bfb1c274b01b76d8"/>
    <w:p>
      <w:pPr>
        <w:pStyle w:val="Heading3"/>
      </w:pPr>
      <w:r>
        <w:t xml:space="preserve">Further reading and an imaginative companion</w:t>
      </w:r>
    </w:p>
    <w:p>
      <w:pPr>
        <w:pStyle w:val="FirstParagraph"/>
      </w:pPr>
      <w:r>
        <w:t xml:space="preserve">The following reader-suggested resources receive an honorable mention on the page. They are reading leads and a loose metaphor, not entries in the consulted 28-source argument ledger. Bibliographic details below were supplied by the reader; the article and comic were not directly consulted. Publisher access was unavailable during this update, so no independent metadata verification or quotation is claimed.</w:t>
      </w:r>
    </w:p>
    <w:p>
      <w:pPr>
        <w:pStyle w:val="Compact"/>
        <w:numPr>
          <w:ilvl w:val="0"/>
          <w:numId w:val="1059"/>
        </w:numPr>
      </w:pPr>
      <w:r>
        <w:t xml:space="preserve">Kerr, G. (2023).</w:t>
      </w:r>
      <w:r>
        <w:t xml:space="preserve"> </w:t>
      </w:r>
      <w:hyperlink r:id="rId191">
        <w:r>
          <w:rPr>
            <w:rStyle w:val="Hyperlink"/>
          </w:rPr>
          <w:t xml:space="preserve">God and the alone world</w:t>
        </w:r>
      </w:hyperlink>
      <w:r>
        <w:t xml:space="preserve">.</w:t>
      </w:r>
      <w:r>
        <w:t xml:space="preserve"> </w:t>
      </w:r>
      <w:r>
        <w:rPr>
          <w:i/>
          <w:iCs/>
        </w:rPr>
        <w:t xml:space="preserve">Irish Theological Quarterly</w:t>
      </w:r>
      <w:r>
        <w:t xml:space="preserve">, 88(1), 76–89. A further-reading lead alongside the question of divine agency; no specific thesis is attributed or incorporated as a premise.</w:t>
      </w:r>
    </w:p>
    <w:p>
      <w:pPr>
        <w:pStyle w:val="Compact"/>
        <w:numPr>
          <w:ilvl w:val="0"/>
          <w:numId w:val="1059"/>
        </w:numPr>
      </w:pPr>
      <w:r>
        <w:t xml:space="preserve">Ewing, A., Vecchio, L., Curiel, D., Aburtov, J., &amp; Sabino, J. V. C. (2024).</w:t>
      </w:r>
      <w:r>
        <w:t xml:space="preserve"> </w:t>
      </w:r>
      <w:r>
        <w:rPr>
          <w:i/>
          <w:iCs/>
        </w:rPr>
        <w:t xml:space="preserve">Resurrection of Magneto #4</w:t>
      </w:r>
      <w:r>
        <w:t xml:space="preserve">. Marvel Comics. An imaginative companion for picturing directed power and direct agency. No specific panel or scene is described. A finite fictional agent does not establish divine simplicity, free creation, or non-receptive knowledge; direct action is not automatically reflexive action or psychological flow.</w:t>
      </w:r>
    </w:p>
    <w:bookmarkEnd w:id="389"/>
    <w:bookmarkStart w:id="390" w:name="read-the-status-before-the-attribution"/>
    <w:p>
      <w:pPr>
        <w:pStyle w:val="Heading3"/>
      </w:pPr>
      <w:r>
        <w:t xml:space="preserve">Read the status before the attribution</w:t>
      </w:r>
    </w:p>
    <w:p>
      <w:pPr>
        <w:pStyle w:val="FirstParagraph"/>
      </w:pPr>
      <w:r>
        <w:t xml:space="preserve">This page is a constructive synthesis. No historical author is its co-author, and no quotation establishes the whole proposed relational account of free divine action. The source ledger records what was actually consulted, what was inherited from the preceding pages or manuscript register, and what remains a lead. Primary-source words, specialist interpretation, and the project’s new arguments must remain distinct.</w:t>
      </w:r>
    </w:p>
    <w:p>
      <w:pPr>
        <w:pStyle w:val="BodyText"/>
      </w:pPr>
      <w:r>
        <w:rPr>
          <w:b/>
          <w:bCs/>
        </w:rPr>
        <w:t xml:space="preserve">Direct consultation</w:t>
      </w:r>
      <w:r>
        <w:t xml:space="preserve"> </w:t>
      </w:r>
      <w:r>
        <w:t xml:space="preserve">means the identified passages were read for this page.</w:t>
      </w:r>
      <w:r>
        <w:t xml:space="preserve"> </w:t>
      </w:r>
      <w:r>
        <w:rPr>
          <w:b/>
          <w:bCs/>
        </w:rPr>
        <w:t xml:space="preserve">Inherited</w:t>
      </w:r>
      <w:r>
        <w:t xml:space="preserve"> </w:t>
      </w:r>
      <w:r>
        <w:t xml:space="preserve">means prior project or manuscript evidence is reused; it is not a fresh source verification.</w:t>
      </w:r>
      <w:r>
        <w:t xml:space="preserve"> </w:t>
      </w:r>
      <w:r>
        <w:rPr>
          <w:b/>
          <w:bCs/>
        </w:rPr>
        <w:t xml:space="preserve">Provisional</w:t>
      </w:r>
      <w:r>
        <w:t xml:space="preserve"> </w:t>
      </w:r>
      <w:r>
        <w:t xml:space="preserve">marks a primary transcription with limited provenance.</w:t>
      </w:r>
      <w:r>
        <w:t xml:space="preserve"> </w:t>
      </w:r>
      <w:r>
        <w:rPr>
          <w:b/>
          <w:bCs/>
        </w:rPr>
        <w:t xml:space="preserve">Secondary</w:t>
      </w:r>
      <w:r>
        <w:t xml:space="preserve"> </w:t>
      </w:r>
      <w:r>
        <w:t xml:space="preserve">means the specialist article was read, not every primary locus it cites.</w:t>
      </w:r>
      <w:r>
        <w:t xml:space="preserve"> </w:t>
      </w:r>
      <w:r>
        <w:rPr>
          <w:b/>
          <w:bCs/>
        </w:rPr>
        <w:t xml:space="preserve">Lead</w:t>
      </w:r>
      <w:r>
        <w:t xml:space="preserve"> </w:t>
      </w:r>
      <w:r>
        <w:t xml:space="preserve">means the primary text was not directly inspected and contributes no independently verified quotation.</w:t>
      </w:r>
    </w:p>
    <w:p>
      <w:pPr>
        <w:pStyle w:val="BodyText"/>
      </w:pPr>
      <w:r>
        <w:t xml:space="preserve">The principal limits are visible rather than hidden in the bibliography:</w:t>
      </w:r>
    </w:p>
    <w:p>
      <w:pPr>
        <w:pStyle w:val="Compact"/>
        <w:numPr>
          <w:ilvl w:val="0"/>
          <w:numId w:val="1060"/>
        </w:numPr>
      </w:pPr>
      <w:r>
        <w:t xml:space="preserve">Dionysius and Nazianzen were read in named historical English translations; no fresh Greek critical collation is claimed.</w:t>
      </w:r>
    </w:p>
    <w:p>
      <w:pPr>
        <w:pStyle w:val="Compact"/>
        <w:numPr>
          <w:ilvl w:val="0"/>
          <w:numId w:val="1060"/>
        </w:numPr>
      </w:pPr>
      <w:r>
        <w:t xml:space="preserve">Maximus remains a provisional Greek witness requiring control against a reliable modern edition.</w:t>
      </w:r>
    </w:p>
    <w:p>
      <w:pPr>
        <w:pStyle w:val="Compact"/>
        <w:numPr>
          <w:ilvl w:val="0"/>
          <w:numId w:val="1060"/>
        </w:numPr>
      </w:pPr>
      <w:r>
        <w:t xml:space="preserve">Bonaventure and Eriugena primary passages are inherited manuscript evidence. Their SEP entries were freshly inspected in selected portions, but those orientation URLs are not primary witnesses.</w:t>
      </w:r>
    </w:p>
    <w:p>
      <w:pPr>
        <w:pStyle w:val="Compact"/>
        <w:numPr>
          <w:ilvl w:val="0"/>
          <w:numId w:val="1060"/>
        </w:numPr>
      </w:pPr>
      <w:r>
        <w:t xml:space="preserve">Benedict XVI’s encyclicals were read through unofficial transcripts of official English texts. Official endpoints were inaccessible; textual fidelity was not line-collated. The</w:t>
      </w:r>
      <w:r>
        <w:t xml:space="preserve"> </w:t>
      </w:r>
      <w:r>
        <w:rPr>
          <w:i/>
          <w:iCs/>
        </w:rPr>
        <w:t xml:space="preserve">Communio</w:t>
      </w:r>
      <w:r>
        <w:t xml:space="preserve"> </w:t>
      </w:r>
      <w:r>
        <w:t xml:space="preserve">person essay remains unconsulted.</w:t>
      </w:r>
    </w:p>
    <w:p>
      <w:pPr>
        <w:pStyle w:val="Compact"/>
        <w:numPr>
          <w:ilvl w:val="0"/>
          <w:numId w:val="1060"/>
        </w:numPr>
      </w:pPr>
      <w:r>
        <w:t xml:space="preserve">Aquinas, Augustine, and Newman entries below reuse earlier-page or manuscript evidence. Augustine’s question 46 remains an inherited unconsulted lead.</w:t>
      </w:r>
    </w:p>
    <w:p>
      <w:pPr>
        <w:pStyle w:val="FirstParagraph"/>
      </w:pPr>
      <w:r>
        <w:t xml:space="preserve">Quotes in the machine-readable ledger retain their translator or transcript provenance. Working translations must not be advertised as newly verified critical translations. The metadata is available in</w:t>
      </w:r>
      <w:r>
        <w:t xml:space="preserve"> </w:t>
      </w:r>
      <w:hyperlink r:id="rId190">
        <w:r>
          <w:rPr>
            <w:rStyle w:val="Hyperlink"/>
          </w:rPr>
          <w:t xml:space="preserve">real-difference-ledger.json</w:t>
        </w:r>
      </w:hyperlink>
      <w:r>
        <w:t xml:space="preserve">.</w:t>
      </w:r>
    </w:p>
    <w:bookmarkEnd w:id="390"/>
    <w:bookmarkStart w:id="399" w:name="patristic-resources"/>
    <w:p>
      <w:pPr>
        <w:pStyle w:val="Heading3"/>
      </w:pPr>
      <w:r>
        <w:t xml:space="preserve">Patristic resources</w:t>
      </w:r>
    </w:p>
    <w:bookmarkStart w:id="391" w:name="X9ee0196ef1bdfe5091a3b233838048137f78d5c"/>
    <w:p>
      <w:pPr>
        <w:pStyle w:val="Heading4"/>
      </w:pPr>
      <w:r>
        <w:t xml:space="preserve">GN-R · Gregory Nazianzen,</w:t>
      </w:r>
      <w:r>
        <w:t xml:space="preserve"> </w:t>
      </w:r>
      <w:r>
        <w:rPr>
          <w:i/>
          <w:iCs/>
        </w:rPr>
        <w:t xml:space="preserve">Oration 29 (Third Theological Oration)</w:t>
      </w:r>
    </w:p>
    <w:p>
      <w:pPr>
        <w:pStyle w:val="FirstParagraph"/>
      </w:pPr>
      <w:r>
        <w:rPr>
          <w:b/>
          <w:bCs/>
        </w:rPr>
        <w:t xml:space="preserve">Locus:</w:t>
      </w:r>
      <w:r>
        <w:t xml:space="preserve"> </w:t>
      </w:r>
      <w:r>
        <w:t xml:space="preserve">§16; NPNF second series VII, pp. 306–307.</w:t>
      </w:r>
      <w:r>
        <w:t xml:space="preserve"> </w:t>
      </w:r>
      <w:r>
        <w:rPr>
          <w:b/>
          <w:bCs/>
        </w:rPr>
        <w:t xml:space="preserve">Status:</w:t>
      </w:r>
      <w:r>
        <w:t xml:space="preserve"> </w:t>
      </w:r>
      <w:r>
        <w:t xml:space="preserve">Primary translation directly consulted this page</w:t>
      </w:r>
    </w:p>
    <w:p>
      <w:pPr>
        <w:pStyle w:val="BodyText"/>
      </w:pPr>
      <w:r>
        <w:rPr>
          <w:b/>
          <w:bCs/>
        </w:rPr>
        <w:t xml:space="preserve">Edition / witness:</w:t>
      </w:r>
      <w:r>
        <w:t xml:space="preserve"> </w:t>
      </w:r>
      <w:r>
        <w:t xml:space="preserve">Charles Gordon Browne and James Edward Swallow, NPNF second series VII; CCEL transcription; no fresh Greek critical collation</w:t>
      </w:r>
    </w:p>
    <w:p>
      <w:pPr>
        <w:pStyle w:val="BodyText"/>
      </w:pPr>
      <w:r>
        <w:rPr>
          <w:b/>
          <w:bCs/>
        </w:rPr>
        <w:t xml:space="preserve">Use:</w:t>
      </w:r>
      <w:r>
        <w:t xml:space="preserve"> </w:t>
      </w:r>
      <w:r>
        <w:t xml:space="preserve">A category distinction: genuine personal difference need not imply different divine nature or created product</w:t>
      </w:r>
      <w:r>
        <w:t xml:space="preserve"> </w:t>
      </w:r>
      <w:r>
        <w:rPr>
          <w:b/>
          <w:bCs/>
        </w:rPr>
        <w:t xml:space="preserve">Limit:</w:t>
      </w:r>
      <w:r>
        <w:t xml:space="preserve"> </w:t>
      </w:r>
      <w:r>
        <w:t xml:space="preserve">Eternal personal origin does not establish a relational account of free divine action. The Son is begotten, not created; personal origin must not be equated with created dependence.</w:t>
      </w:r>
    </w:p>
    <w:p>
      <w:pPr>
        <w:pStyle w:val="BodyText"/>
      </w:pPr>
      <w:hyperlink r:id="rId92">
        <w:r>
          <w:rPr>
            <w:rStyle w:val="Hyperlink"/>
          </w:rPr>
          <w:t xml:space="preserve">Reading / orientation address</w:t>
        </w:r>
      </w:hyperlink>
      <w:r>
        <w:t xml:space="preserve">.</w:t>
      </w:r>
    </w:p>
    <w:bookmarkEnd w:id="391"/>
    <w:bookmarkStart w:id="392" w:name="gn-a-gregory-nazianzen-oration-29"/>
    <w:p>
      <w:pPr>
        <w:pStyle w:val="Heading4"/>
      </w:pPr>
      <w:r>
        <w:t xml:space="preserve">GN-A · Gregory Nazianzen,</w:t>
      </w:r>
      <w:r>
        <w:t xml:space="preserve"> </w:t>
      </w:r>
      <w:r>
        <w:rPr>
          <w:i/>
          <w:iCs/>
        </w:rPr>
        <w:t xml:space="preserve">Oration 29</w:t>
      </w:r>
    </w:p>
    <w:p>
      <w:pPr>
        <w:pStyle w:val="FirstParagraph"/>
      </w:pPr>
      <w:r>
        <w:rPr>
          <w:b/>
          <w:bCs/>
        </w:rPr>
        <w:t xml:space="preserve">Locus:</w:t>
      </w:r>
      <w:r>
        <w:t xml:space="preserve"> </w:t>
      </w:r>
      <w:r>
        <w:t xml:space="preserve">§§6–8.</w:t>
      </w:r>
      <w:r>
        <w:t xml:space="preserve"> </w:t>
      </w:r>
      <w:r>
        <w:rPr>
          <w:b/>
          <w:bCs/>
        </w:rPr>
        <w:t xml:space="preserve">Status:</w:t>
      </w:r>
      <w:r>
        <w:t xml:space="preserve"> </w:t>
      </w:r>
      <w:r>
        <w:t xml:space="preserve">Primary translation directly consulted this page</w:t>
      </w:r>
    </w:p>
    <w:p>
      <w:pPr>
        <w:pStyle w:val="BodyText"/>
      </w:pPr>
      <w:r>
        <w:rPr>
          <w:b/>
          <w:bCs/>
        </w:rPr>
        <w:t xml:space="preserve">Edition / witness:</w:t>
      </w:r>
      <w:r>
        <w:t xml:space="preserve"> </w:t>
      </w:r>
      <w:r>
        <w:t xml:space="preserve">Browne/Swallow, NPNF second series VII; CCEL</w:t>
      </w:r>
    </w:p>
    <w:p>
      <w:pPr>
        <w:pStyle w:val="BodyText"/>
      </w:pPr>
      <w:r>
        <w:rPr>
          <w:b/>
          <w:bCs/>
        </w:rPr>
        <w:t xml:space="preserve">Use:</w:t>
      </w:r>
      <w:r>
        <w:t xml:space="preserve"> </w:t>
      </w:r>
      <w:r>
        <w:t xml:space="preserve">A warning against treating willing as an object between God and the act, or confusing generation with creation</w:t>
      </w:r>
      <w:r>
        <w:t xml:space="preserve"> </w:t>
      </w:r>
      <w:r>
        <w:rPr>
          <w:b/>
          <w:bCs/>
        </w:rPr>
        <w:t xml:space="preserve">Limit:</w:t>
      </w:r>
      <w:r>
        <w:t xml:space="preserve"> </w:t>
      </w:r>
      <w:r>
        <w:t xml:space="preserve">The argument against Eunomius concerns generation, rather than a complete modern account of free creation. Editorial notes are not Gregory’s words.</w:t>
      </w:r>
    </w:p>
    <w:p>
      <w:pPr>
        <w:pStyle w:val="BodyText"/>
      </w:pPr>
      <w:hyperlink r:id="rId92">
        <w:r>
          <w:rPr>
            <w:rStyle w:val="Hyperlink"/>
          </w:rPr>
          <w:t xml:space="preserve">Reading / orientation address</w:t>
        </w:r>
      </w:hyperlink>
      <w:r>
        <w:t xml:space="preserve">.</w:t>
      </w:r>
    </w:p>
    <w:bookmarkEnd w:id="392"/>
    <w:bookmarkStart w:id="393" w:name="dn-r-pseudo-dionysius-divine-names"/>
    <w:p>
      <w:pPr>
        <w:pStyle w:val="Heading4"/>
      </w:pPr>
      <w:r>
        <w:t xml:space="preserve">DN-R · Pseudo-Dionysius,</w:t>
      </w:r>
      <w:r>
        <w:t xml:space="preserve"> </w:t>
      </w:r>
      <w:r>
        <w:rPr>
          <w:i/>
          <w:iCs/>
        </w:rPr>
        <w:t xml:space="preserve">Divine Names</w:t>
      </w:r>
    </w:p>
    <w:p>
      <w:pPr>
        <w:pStyle w:val="FirstParagraph"/>
      </w:pPr>
      <w:r>
        <w:rPr>
          <w:b/>
          <w:bCs/>
        </w:rPr>
        <w:t xml:space="preserve">Locus:</w:t>
      </w:r>
      <w:r>
        <w:t xml:space="preserve"> </w:t>
      </w:r>
      <w:r>
        <w:t xml:space="preserve">II.5; Rolt pp. 71–73.</w:t>
      </w:r>
      <w:r>
        <w:t xml:space="preserve"> </w:t>
      </w:r>
      <w:r>
        <w:rPr>
          <w:b/>
          <w:bCs/>
        </w:rPr>
        <w:t xml:space="preserve">Status:</w:t>
      </w:r>
      <w:r>
        <w:t xml:space="preserve"> </w:t>
      </w:r>
      <w:r>
        <w:t xml:space="preserve">Primary translation directly consulted this page</w:t>
      </w:r>
    </w:p>
    <w:p>
      <w:pPr>
        <w:pStyle w:val="BodyText"/>
      </w:pPr>
      <w:r>
        <w:rPr>
          <w:b/>
          <w:bCs/>
        </w:rPr>
        <w:t xml:space="preserve">Edition / witness:</w:t>
      </w:r>
      <w:r>
        <w:t xml:space="preserve"> </w:t>
      </w:r>
      <w:r>
        <w:t xml:space="preserve">C. E. Rolt (1920), CCEL; older reliable historical translation, not newly collated against Luibheid/Rorem</w:t>
      </w:r>
    </w:p>
    <w:p>
      <w:pPr>
        <w:pStyle w:val="BodyText"/>
      </w:pPr>
      <w:r>
        <w:rPr>
          <w:b/>
          <w:bCs/>
        </w:rPr>
        <w:t xml:space="preserve">Use:</w:t>
      </w:r>
      <w:r>
        <w:t xml:space="preserve"> </w:t>
      </w:r>
      <w:r>
        <w:t xml:space="preserve">Recipient variation does not entail corresponding partition or alteration of source</w:t>
      </w:r>
      <w:r>
        <w:t xml:space="preserve"> </w:t>
      </w:r>
      <w:r>
        <w:rPr>
          <w:b/>
          <w:bCs/>
        </w:rPr>
        <w:t xml:space="preserve">Limit:</w:t>
      </w:r>
      <w:r>
        <w:t xml:space="preserve"> </w:t>
      </w:r>
      <w:r>
        <w:t xml:space="preserve">A seal has intrinsic pattern; receptor analogy is not a simplicity proof or explanation of free choice; God exceeds the analogy</w:t>
      </w:r>
    </w:p>
    <w:p>
      <w:pPr>
        <w:pStyle w:val="BodyText"/>
      </w:pPr>
      <w:hyperlink r:id="rId143">
        <w:r>
          <w:rPr>
            <w:rStyle w:val="Hyperlink"/>
          </w:rPr>
          <w:t xml:space="preserve">Reading / orientation address</w:t>
        </w:r>
      </w:hyperlink>
      <w:r>
        <w:t xml:space="preserve">.</w:t>
      </w:r>
    </w:p>
    <w:bookmarkEnd w:id="393"/>
    <w:bookmarkStart w:id="394" w:name="dn-e-pseudo-dionysius-divine-names"/>
    <w:p>
      <w:pPr>
        <w:pStyle w:val="Heading4"/>
      </w:pPr>
      <w:r>
        <w:t xml:space="preserve">DN-E · Pseudo-Dionysius,</w:t>
      </w:r>
      <w:r>
        <w:t xml:space="preserve"> </w:t>
      </w:r>
      <w:r>
        <w:rPr>
          <w:i/>
          <w:iCs/>
        </w:rPr>
        <w:t xml:space="preserve">Divine Names</w:t>
      </w:r>
    </w:p>
    <w:p>
      <w:pPr>
        <w:pStyle w:val="FirstParagraph"/>
      </w:pPr>
      <w:r>
        <w:rPr>
          <w:b/>
          <w:bCs/>
        </w:rPr>
        <w:t xml:space="preserve">Locus:</w:t>
      </w:r>
      <w:r>
        <w:t xml:space="preserve"> </w:t>
      </w:r>
      <w:r>
        <w:t xml:space="preserve">V.8; Rolt pp. 139–141.</w:t>
      </w:r>
      <w:r>
        <w:t xml:space="preserve"> </w:t>
      </w:r>
      <w:r>
        <w:rPr>
          <w:b/>
          <w:bCs/>
        </w:rPr>
        <w:t xml:space="preserve">Status:</w:t>
      </w:r>
      <w:r>
        <w:t xml:space="preserve"> </w:t>
      </w:r>
      <w:r>
        <w:t xml:space="preserve">Primary translation directly consulted this page</w:t>
      </w:r>
    </w:p>
    <w:p>
      <w:pPr>
        <w:pStyle w:val="BodyText"/>
      </w:pPr>
      <w:r>
        <w:rPr>
          <w:b/>
          <w:bCs/>
        </w:rPr>
        <w:t xml:space="preserve">Edition / witness:</w:t>
      </w:r>
      <w:r>
        <w:t xml:space="preserve"> </w:t>
      </w:r>
      <w:r>
        <w:t xml:space="preserve">C. E. Rolt (1920), CCEL; editorial commentary separated</w:t>
      </w:r>
    </w:p>
    <w:p>
      <w:pPr>
        <w:pStyle w:val="BodyText"/>
      </w:pPr>
      <w:r>
        <w:rPr>
          <w:b/>
          <w:bCs/>
        </w:rPr>
        <w:t xml:space="preserve">Use:</w:t>
      </w:r>
      <w:r>
        <w:t xml:space="preserve"> </w:t>
      </w:r>
      <w:r>
        <w:t xml:space="preserve">Positive intelligible differentiation in relation to one source</w:t>
      </w:r>
      <w:r>
        <w:t xml:space="preserve"> </w:t>
      </w:r>
      <w:r>
        <w:rPr>
          <w:b/>
          <w:bCs/>
        </w:rPr>
        <w:t xml:space="preserve">Limit:</w:t>
      </w:r>
      <w:r>
        <w:t xml:space="preserve"> </w:t>
      </w:r>
      <w:r>
        <w:t xml:space="preserve">Plural exemplars or divine wills do not by themselves prove alternative created outcomes, or establish that divine intentions differ only relationally</w:t>
      </w:r>
    </w:p>
    <w:p>
      <w:pPr>
        <w:pStyle w:val="BodyText"/>
      </w:pPr>
      <w:hyperlink r:id="rId145">
        <w:r>
          <w:rPr>
            <w:rStyle w:val="Hyperlink"/>
          </w:rPr>
          <w:t xml:space="preserve">Reading / orientation address</w:t>
        </w:r>
      </w:hyperlink>
      <w:r>
        <w:t xml:space="preserve">.</w:t>
      </w:r>
    </w:p>
    <w:bookmarkEnd w:id="394"/>
    <w:bookmarkStart w:id="395" w:name="dn-k-pseudo-dionysius-divine-names"/>
    <w:p>
      <w:pPr>
        <w:pStyle w:val="Heading4"/>
      </w:pPr>
      <w:r>
        <w:t xml:space="preserve">DN-K · Pseudo-Dionysius,</w:t>
      </w:r>
      <w:r>
        <w:t xml:space="preserve"> </w:t>
      </w:r>
      <w:r>
        <w:rPr>
          <w:i/>
          <w:iCs/>
        </w:rPr>
        <w:t xml:space="preserve">Divine Names</w:t>
      </w:r>
    </w:p>
    <w:p>
      <w:pPr>
        <w:pStyle w:val="FirstParagraph"/>
      </w:pPr>
      <w:r>
        <w:rPr>
          <w:b/>
          <w:bCs/>
        </w:rPr>
        <w:t xml:space="preserve">Locus:</w:t>
      </w:r>
      <w:r>
        <w:t xml:space="preserve"> </w:t>
      </w:r>
      <w:r>
        <w:t xml:space="preserve">VII.2–3; Rolt pp. 149–153.</w:t>
      </w:r>
      <w:r>
        <w:t xml:space="preserve"> </w:t>
      </w:r>
      <w:r>
        <w:rPr>
          <w:b/>
          <w:bCs/>
        </w:rPr>
        <w:t xml:space="preserve">Status:</w:t>
      </w:r>
      <w:r>
        <w:t xml:space="preserve"> </w:t>
      </w:r>
      <w:r>
        <w:t xml:space="preserve">Primary translation directly consulted this page</w:t>
      </w:r>
    </w:p>
    <w:p>
      <w:pPr>
        <w:pStyle w:val="BodyText"/>
      </w:pPr>
      <w:r>
        <w:rPr>
          <w:b/>
          <w:bCs/>
        </w:rPr>
        <w:t xml:space="preserve">Edition / witness:</w:t>
      </w:r>
      <w:r>
        <w:t xml:space="preserve"> </w:t>
      </w:r>
      <w:r>
        <w:t xml:space="preserve">C. E. Rolt (1920), CCEL; editorial commentary separated</w:t>
      </w:r>
    </w:p>
    <w:p>
      <w:pPr>
        <w:pStyle w:val="BodyText"/>
      </w:pPr>
      <w:r>
        <w:rPr>
          <w:b/>
          <w:bCs/>
        </w:rPr>
        <w:t xml:space="preserve">Use:</w:t>
      </w:r>
      <w:r>
        <w:t xml:space="preserve"> </w:t>
      </w:r>
      <w:r>
        <w:t xml:space="preserve">Different effects, God’s knowledge, and a recipient’s acquired knowledge require distinct accounts</w:t>
      </w:r>
      <w:r>
        <w:t xml:space="preserve"> </w:t>
      </w:r>
      <w:r>
        <w:rPr>
          <w:b/>
          <w:bCs/>
        </w:rPr>
        <w:t xml:space="preserve">Limit:</w:t>
      </w:r>
      <w:r>
        <w:t xml:space="preserve"> </w:t>
      </w:r>
      <w:r>
        <w:t xml:space="preserve">Does not independently explain choice between possible creations, or knowledge of permitted creaturely decisions. Rolt’s editorial comments about being beyond personality are not adopted.</w:t>
      </w:r>
    </w:p>
    <w:p>
      <w:pPr>
        <w:pStyle w:val="BodyText"/>
      </w:pPr>
      <w:hyperlink r:id="rId80">
        <w:r>
          <w:rPr>
            <w:rStyle w:val="Hyperlink"/>
          </w:rPr>
          <w:t xml:space="preserve">Reading / orientation address</w:t>
        </w:r>
      </w:hyperlink>
      <w:r>
        <w:t xml:space="preserve">.</w:t>
      </w:r>
    </w:p>
    <w:bookmarkEnd w:id="395"/>
    <w:bookmarkStart w:id="396" w:name="dn-l-pseudo-dionysius-divine-names"/>
    <w:p>
      <w:pPr>
        <w:pStyle w:val="Heading4"/>
      </w:pPr>
      <w:r>
        <w:t xml:space="preserve">DN-L · Pseudo-Dionysius,</w:t>
      </w:r>
      <w:r>
        <w:t xml:space="preserve"> </w:t>
      </w:r>
      <w:r>
        <w:rPr>
          <w:i/>
          <w:iCs/>
        </w:rPr>
        <w:t xml:space="preserve">Divine Names</w:t>
      </w:r>
    </w:p>
    <w:p>
      <w:pPr>
        <w:pStyle w:val="FirstParagraph"/>
      </w:pPr>
      <w:r>
        <w:rPr>
          <w:b/>
          <w:bCs/>
        </w:rPr>
        <w:t xml:space="preserve">Locus:</w:t>
      </w:r>
      <w:r>
        <w:t xml:space="preserve"> </w:t>
      </w:r>
      <w:r>
        <w:t xml:space="preserve">IX.6–7; Rolt pp. 166–167.</w:t>
      </w:r>
      <w:r>
        <w:t xml:space="preserve"> </w:t>
      </w:r>
      <w:r>
        <w:rPr>
          <w:b/>
          <w:bCs/>
        </w:rPr>
        <w:t xml:space="preserve">Status:</w:t>
      </w:r>
      <w:r>
        <w:t xml:space="preserve"> </w:t>
      </w:r>
      <w:r>
        <w:t xml:space="preserve">Primary translation directly consulted this page</w:t>
      </w:r>
    </w:p>
    <w:p>
      <w:pPr>
        <w:pStyle w:val="BodyText"/>
      </w:pPr>
      <w:r>
        <w:rPr>
          <w:b/>
          <w:bCs/>
        </w:rPr>
        <w:t xml:space="preserve">Edition / witness:</w:t>
      </w:r>
      <w:r>
        <w:t xml:space="preserve"> </w:t>
      </w:r>
      <w:r>
        <w:t xml:space="preserve">C. E. Rolt (1920), CCEL</w:t>
      </w:r>
    </w:p>
    <w:p>
      <w:pPr>
        <w:pStyle w:val="BodyText"/>
      </w:pPr>
      <w:r>
        <w:rPr>
          <w:b/>
          <w:bCs/>
        </w:rPr>
        <w:t xml:space="preserve">Use:</w:t>
      </w:r>
      <w:r>
        <w:t xml:space="preserve"> </w:t>
      </w:r>
      <w:r>
        <w:t xml:space="preserve">Meaningful likeness does not require a shared nature</w:t>
      </w:r>
      <w:r>
        <w:t xml:space="preserve"> </w:t>
      </w:r>
      <w:r>
        <w:rPr>
          <w:b/>
          <w:bCs/>
        </w:rPr>
        <w:t xml:space="preserve">Limit:</w:t>
      </w:r>
      <w:r>
        <w:t xml:space="preserve"> </w:t>
      </w:r>
      <w:r>
        <w:t xml:space="preserve">Does not prove that every effect resembles its cause in every respect</w:t>
      </w:r>
    </w:p>
    <w:p>
      <w:pPr>
        <w:pStyle w:val="BodyText"/>
      </w:pPr>
      <w:hyperlink r:id="rId148">
        <w:r>
          <w:rPr>
            <w:rStyle w:val="Hyperlink"/>
          </w:rPr>
          <w:t xml:space="preserve">Reading / orientation address</w:t>
        </w:r>
      </w:hyperlink>
      <w:r>
        <w:t xml:space="preserve">.</w:t>
      </w:r>
    </w:p>
    <w:bookmarkEnd w:id="396"/>
    <w:bookmarkStart w:id="397" w:name="X4db5980d4011f8a4fb03fbff23248d807cac76c"/>
    <w:p>
      <w:pPr>
        <w:pStyle w:val="Heading4"/>
      </w:pPr>
      <w:r>
        <w:t xml:space="preserve">NY-M · Gregory of Nyssa,</w:t>
      </w:r>
      <w:r>
        <w:t xml:space="preserve"> </w:t>
      </w:r>
      <w:r>
        <w:rPr>
          <w:i/>
          <w:iCs/>
        </w:rPr>
        <w:t xml:space="preserve">On the Making of Man</w:t>
      </w:r>
    </w:p>
    <w:p>
      <w:pPr>
        <w:pStyle w:val="FirstParagraph"/>
      </w:pPr>
      <w:r>
        <w:rPr>
          <w:b/>
          <w:bCs/>
        </w:rPr>
        <w:t xml:space="preserve">Locus:</w:t>
      </w:r>
      <w:r>
        <w:t xml:space="preserve"> </w:t>
      </w:r>
      <w:r>
        <w:t xml:space="preserve">XVI.</w:t>
      </w:r>
      <w:r>
        <w:t xml:space="preserve"> </w:t>
      </w:r>
      <w:r>
        <w:rPr>
          <w:b/>
          <w:bCs/>
        </w:rPr>
        <w:t xml:space="preserve">Status:</w:t>
      </w:r>
      <w:r>
        <w:t xml:space="preserve"> </w:t>
      </w:r>
      <w:r>
        <w:t xml:space="preserve">Primary translation reconsulted from original project</w:t>
      </w:r>
    </w:p>
    <w:p>
      <w:pPr>
        <w:pStyle w:val="BodyText"/>
      </w:pPr>
      <w:r>
        <w:rPr>
          <w:b/>
          <w:bCs/>
        </w:rPr>
        <w:t xml:space="preserve">Edition / witness:</w:t>
      </w:r>
      <w:r>
        <w:t xml:space="preserve"> </w:t>
      </w:r>
      <w:r>
        <w:t xml:space="preserve">William Moore and Henry Austin Wilson, NPNF second series V; Standard Ebooks transcription with scan-check provenance</w:t>
      </w:r>
    </w:p>
    <w:p>
      <w:pPr>
        <w:pStyle w:val="BodyText"/>
      </w:pPr>
      <w:r>
        <w:rPr>
          <w:b/>
          <w:bCs/>
        </w:rPr>
        <w:t xml:space="preserve">Use:</w:t>
      </w:r>
      <w:r>
        <w:t xml:space="preserve"> </w:t>
      </w:r>
      <w:r>
        <w:t xml:space="preserve">Created limitations need not limit the source; receiving rational agency is compatible with voluntary action</w:t>
      </w:r>
      <w:r>
        <w:t xml:space="preserve"> </w:t>
      </w:r>
      <w:r>
        <w:rPr>
          <w:b/>
          <w:bCs/>
        </w:rPr>
        <w:t xml:space="preserve">Limit:</w:t>
      </w:r>
      <w:r>
        <w:t xml:space="preserve"> </w:t>
      </w:r>
      <w:r>
        <w:t xml:space="preserve">Speculative anthropology is not a universally established metaphysical principle. The Life of Moses passages on infinity were not newly read.</w:t>
      </w:r>
    </w:p>
    <w:p>
      <w:pPr>
        <w:pStyle w:val="BodyText"/>
      </w:pPr>
      <w:hyperlink r:id="rId90">
        <w:r>
          <w:rPr>
            <w:rStyle w:val="Hyperlink"/>
          </w:rPr>
          <w:t xml:space="preserve">Reading / orientation address</w:t>
        </w:r>
      </w:hyperlink>
      <w:r>
        <w:t xml:space="preserve">.</w:t>
      </w:r>
    </w:p>
    <w:bookmarkEnd w:id="397"/>
    <w:bookmarkStart w:id="398" w:name="mx-d-maximus-the-confessor-ambiguum-7"/>
    <w:p>
      <w:pPr>
        <w:pStyle w:val="Heading4"/>
      </w:pPr>
      <w:r>
        <w:t xml:space="preserve">MX-D · Maximus the Confessor,</w:t>
      </w:r>
      <w:r>
        <w:t xml:space="preserve"> </w:t>
      </w:r>
      <w:r>
        <w:rPr>
          <w:i/>
          <w:iCs/>
        </w:rPr>
        <w:t xml:space="preserve">Ambiguum 7</w:t>
      </w:r>
    </w:p>
    <w:p>
      <w:pPr>
        <w:pStyle w:val="FirstParagraph"/>
      </w:pPr>
      <w:r>
        <w:rPr>
          <w:b/>
          <w:bCs/>
        </w:rPr>
        <w:t xml:space="preserve">Locus:</w:t>
      </w:r>
      <w:r>
        <w:t xml:space="preserve"> </w:t>
      </w:r>
      <w:r>
        <w:t xml:space="preserve">PG 91, 1077–1081, transcription ΠΡ 2.11–2.16; knowledge passage ΠΡ 2.20 within columns 1085–1088.</w:t>
      </w:r>
      <w:r>
        <w:t xml:space="preserve"> </w:t>
      </w:r>
      <w:r>
        <w:rPr>
          <w:b/>
          <w:bCs/>
        </w:rPr>
        <w:t xml:space="preserve">Status:</w:t>
      </w:r>
      <w:r>
        <w:t xml:space="preserve"> </w:t>
      </w:r>
      <w:r>
        <w:t xml:space="preserve">Provisional Greek primary witness reconsulted; modern reliable edition collation outstanding</w:t>
      </w:r>
    </w:p>
    <w:p>
      <w:pPr>
        <w:pStyle w:val="BodyText"/>
      </w:pPr>
      <w:r>
        <w:rPr>
          <w:b/>
          <w:bCs/>
        </w:rPr>
        <w:t xml:space="preserve">Edition / witness:</w:t>
      </w:r>
      <w:r>
        <w:t xml:space="preserve"> </w:t>
      </w:r>
      <w:r>
        <w:t xml:space="preserve">Undocumented Greek transcription; consult Nicholas Constas, Ambigua (2014) for critical control</w:t>
      </w:r>
    </w:p>
    <w:p>
      <w:pPr>
        <w:pStyle w:val="BodyText"/>
      </w:pPr>
      <w:r>
        <w:rPr>
          <w:b/>
          <w:bCs/>
        </w:rPr>
        <w:t xml:space="preserve">Use:</w:t>
      </w:r>
      <w:r>
        <w:t xml:space="preserve"> </w:t>
      </w:r>
      <w:r>
        <w:t xml:space="preserve">Intelligibility and realized history are distinct; temporal realization need not imply acquired divine knowledge</w:t>
      </w:r>
      <w:r>
        <w:t xml:space="preserve"> </w:t>
      </w:r>
      <w:r>
        <w:rPr>
          <w:b/>
          <w:bCs/>
        </w:rPr>
        <w:t xml:space="preserve">Limit:</w:t>
      </w:r>
      <w:r>
        <w:t xml:space="preserve"> </w:t>
      </w:r>
      <w:r>
        <w:t xml:space="preserve">No English quotation is attributed to Constas. The text does not establish that divine intentions differ only relationally, prove alternative creations, or eliminate historical disagreements.</w:t>
      </w:r>
    </w:p>
    <w:p>
      <w:pPr>
        <w:pStyle w:val="BodyText"/>
      </w:pPr>
      <w:hyperlink r:id="rId87">
        <w:r>
          <w:rPr>
            <w:rStyle w:val="Hyperlink"/>
          </w:rPr>
          <w:t xml:space="preserve">Reading / orientation address</w:t>
        </w:r>
      </w:hyperlink>
      <w:r>
        <w:t xml:space="preserve">.</w:t>
      </w:r>
    </w:p>
    <w:bookmarkEnd w:id="398"/>
    <w:bookmarkEnd w:id="399"/>
    <w:bookmarkStart w:id="409" w:name="bonaventure-and-eriugena"/>
    <w:p>
      <w:pPr>
        <w:pStyle w:val="Heading3"/>
      </w:pPr>
      <w:r>
        <w:t xml:space="preserve">Bonaventure and Eriugena</w:t>
      </w:r>
    </w:p>
    <w:bookmarkStart w:id="400" w:name="X6548e410147629d72e3d7d84d55b7bdfe755e8f"/>
    <w:p>
      <w:pPr>
        <w:pStyle w:val="Heading4"/>
      </w:pPr>
      <w:r>
        <w:t xml:space="preserve">RD-BON-FIRST · Bonaventure,</w:t>
      </w:r>
      <w:r>
        <w:t xml:space="preserve"> </w:t>
      </w:r>
      <w:r>
        <w:rPr>
          <w:i/>
          <w:iCs/>
        </w:rPr>
        <w:t xml:space="preserve">Commentary on the First Book of Sentences</w:t>
      </w:r>
    </w:p>
    <w:p>
      <w:pPr>
        <w:pStyle w:val="FirstParagraph"/>
      </w:pPr>
      <w:r>
        <w:rPr>
          <w:b/>
          <w:bCs/>
        </w:rPr>
        <w:t xml:space="preserve">Locus:</w:t>
      </w:r>
      <w:r>
        <w:t xml:space="preserve"> </w:t>
      </w:r>
      <w:r>
        <w:t xml:space="preserve">I Sent., d. 8, p. II, a. un., q. 1, arguments 1–2 (inherited register B12).</w:t>
      </w:r>
      <w:r>
        <w:t xml:space="preserve"> </w:t>
      </w:r>
      <w:r>
        <w:rPr>
          <w:b/>
          <w:bCs/>
        </w:rPr>
        <w:t xml:space="preserve">Status:</w:t>
      </w:r>
      <w:r>
        <w:t xml:space="preserve"> </w:t>
      </w:r>
      <w:r>
        <w:t xml:space="preserve">Inherited primary audit; not freshly critical-collated. URL is specialist orientation, not the Latin witness.</w:t>
      </w:r>
    </w:p>
    <w:p>
      <w:pPr>
        <w:pStyle w:val="BodyText"/>
      </w:pPr>
      <w:r>
        <w:rPr>
          <w:b/>
          <w:bCs/>
        </w:rPr>
        <w:t xml:space="preserve">Edition / witness:</w:t>
      </w:r>
      <w:r>
        <w:t xml:space="preserve"> </w:t>
      </w:r>
      <w:r>
        <w:t xml:space="preserve">Opera omnia, vol. I, Quaracchi, 1882; Latin transcription audit inherited from Being-First. English quotation is manuscript working translation.</w:t>
      </w:r>
    </w:p>
    <w:p>
      <w:pPr>
        <w:pStyle w:val="BodyText"/>
      </w:pPr>
      <w:r>
        <w:rPr>
          <w:b/>
          <w:bCs/>
        </w:rPr>
        <w:t xml:space="preserve">Use:</w:t>
      </w:r>
      <w:r>
        <w:t xml:space="preserve"> </w:t>
      </w:r>
      <w:r>
        <w:t xml:space="preserve">Arguments from firstness and essential perfection help test dependence on constituents; different attributes need not be parts of perfection.</w:t>
      </w:r>
      <w:r>
        <w:t xml:space="preserve"> </w:t>
      </w:r>
      <w:r>
        <w:rPr>
          <w:b/>
          <w:bCs/>
        </w:rPr>
        <w:t xml:space="preserve">Limit:</w:t>
      </w:r>
      <w:r>
        <w:t xml:space="preserve"> </w:t>
      </w:r>
      <w:r>
        <w:t xml:space="preserve">Does not identify God with every known object or relation to a creature. The modern argument from dependence on constituents is a reconstruction.</w:t>
      </w:r>
    </w:p>
    <w:p>
      <w:pPr>
        <w:pStyle w:val="BodyText"/>
      </w:pPr>
      <w:hyperlink r:id="rId77">
        <w:r>
          <w:rPr>
            <w:rStyle w:val="Hyperlink"/>
          </w:rPr>
          <w:t xml:space="preserve">Reading / orientation address</w:t>
        </w:r>
      </w:hyperlink>
      <w:r>
        <w:t xml:space="preserve">. Specialist orientation; not the directly consulted primary witness.</w:t>
      </w:r>
    </w:p>
    <w:bookmarkEnd w:id="400"/>
    <w:bookmarkStart w:id="401" w:name="X55fa6d57fd68b07f526948f72536d657a886c82"/>
    <w:p>
      <w:pPr>
        <w:pStyle w:val="Heading4"/>
      </w:pPr>
      <w:r>
        <w:t xml:space="preserve">RD-BON-FULL · Bonaventure,</w:t>
      </w:r>
      <w:r>
        <w:t xml:space="preserve"> </w:t>
      </w:r>
      <w:r>
        <w:rPr>
          <w:i/>
          <w:iCs/>
        </w:rPr>
        <w:t xml:space="preserve">Commentary on the First Book of Sentences</w:t>
      </w:r>
    </w:p>
    <w:p>
      <w:pPr>
        <w:pStyle w:val="FirstParagraph"/>
      </w:pPr>
      <w:r>
        <w:rPr>
          <w:b/>
          <w:bCs/>
        </w:rPr>
        <w:t xml:space="preserve">Locus:</w:t>
      </w:r>
      <w:r>
        <w:t xml:space="preserve"> </w:t>
      </w:r>
      <w:r>
        <w:t xml:space="preserve">I Sent., d. 8, p. II, a. un., q. 1, ad 1 (inherited register B13).</w:t>
      </w:r>
      <w:r>
        <w:t xml:space="preserve"> </w:t>
      </w:r>
      <w:r>
        <w:rPr>
          <w:b/>
          <w:bCs/>
        </w:rPr>
        <w:t xml:space="preserve">Status:</w:t>
      </w:r>
      <w:r>
        <w:t xml:space="preserve"> </w:t>
      </w:r>
      <w:r>
        <w:t xml:space="preserve">Inherited primary audit; URL is specialist orientation.</w:t>
      </w:r>
    </w:p>
    <w:p>
      <w:pPr>
        <w:pStyle w:val="BodyText"/>
      </w:pPr>
      <w:r>
        <w:rPr>
          <w:b/>
          <w:bCs/>
        </w:rPr>
        <w:t xml:space="preserve">Edition / witness:</w:t>
      </w:r>
      <w:r>
        <w:t xml:space="preserve"> </w:t>
      </w:r>
      <w:r>
        <w:t xml:space="preserve">Opera omnia, vol. I, Quaracchi, 1882; working English translation in supplied manuscript.</w:t>
      </w:r>
    </w:p>
    <w:p>
      <w:pPr>
        <w:pStyle w:val="BodyText"/>
      </w:pPr>
      <w:r>
        <w:rPr>
          <w:b/>
          <w:bCs/>
        </w:rPr>
        <w:t xml:space="preserve">Use:</w:t>
      </w:r>
      <w:r>
        <w:t xml:space="preserve"> </w:t>
      </w:r>
      <w:r>
        <w:t xml:space="preserve">Positive fullness rather than deficient featurelessness; the immediate communication argument is Trinitarian.</w:t>
      </w:r>
      <w:r>
        <w:t xml:space="preserve"> </w:t>
      </w:r>
      <w:r>
        <w:rPr>
          <w:b/>
          <w:bCs/>
        </w:rPr>
        <w:t xml:space="preserve">Limit:</w:t>
      </w:r>
      <w:r>
        <w:t xml:space="preserve"> </w:t>
      </w:r>
      <w:r>
        <w:t xml:space="preserve">Does not entail that this world or any created world necessarily exists. Nonreception alone does not establish fullness.</w:t>
      </w:r>
    </w:p>
    <w:p>
      <w:pPr>
        <w:pStyle w:val="BodyText"/>
      </w:pPr>
      <w:hyperlink r:id="rId77">
        <w:r>
          <w:rPr>
            <w:rStyle w:val="Hyperlink"/>
          </w:rPr>
          <w:t xml:space="preserve">Reading / orientation address</w:t>
        </w:r>
      </w:hyperlink>
      <w:r>
        <w:t xml:space="preserve">. Specialist orientation; not the directly consulted primary witness.</w:t>
      </w:r>
    </w:p>
    <w:bookmarkEnd w:id="401"/>
    <w:bookmarkStart w:id="402" w:name="Xe72ca780a3ee86222f4f29b7d4fd1dc68473bc9"/>
    <w:p>
      <w:pPr>
        <w:pStyle w:val="Heading4"/>
      </w:pPr>
      <w:r>
        <w:t xml:space="preserve">RD-BON-ORIGIN · Bonaventure,</w:t>
      </w:r>
      <w:r>
        <w:t xml:space="preserve"> </w:t>
      </w:r>
      <w:r>
        <w:rPr>
          <w:i/>
          <w:iCs/>
        </w:rPr>
        <w:t xml:space="preserve">Commentary on the First Book of Sentences</w:t>
      </w:r>
    </w:p>
    <w:p>
      <w:pPr>
        <w:pStyle w:val="FirstParagraph"/>
      </w:pPr>
      <w:r>
        <w:rPr>
          <w:b/>
          <w:bCs/>
        </w:rPr>
        <w:t xml:space="preserve">Locus:</w:t>
      </w:r>
      <w:r>
        <w:t xml:space="preserve"> </w:t>
      </w:r>
      <w:r>
        <w:t xml:space="preserve">I Sent., d. 8, p. II, a. un., q. 1, ad 2 (inherited register B13).</w:t>
      </w:r>
      <w:r>
        <w:t xml:space="preserve"> </w:t>
      </w:r>
      <w:r>
        <w:rPr>
          <w:b/>
          <w:bCs/>
        </w:rPr>
        <w:t xml:space="preserve">Status:</w:t>
      </w:r>
      <w:r>
        <w:t xml:space="preserve"> </w:t>
      </w:r>
      <w:r>
        <w:t xml:space="preserve">Inherited primary audit; paraphrase of manuscript source discussion, no new critical collation.</w:t>
      </w:r>
    </w:p>
    <w:p>
      <w:pPr>
        <w:pStyle w:val="BodyText"/>
      </w:pPr>
      <w:r>
        <w:rPr>
          <w:b/>
          <w:bCs/>
        </w:rPr>
        <w:t xml:space="preserve">Edition / witness:</w:t>
      </w:r>
      <w:r>
        <w:t xml:space="preserve"> </w:t>
      </w:r>
      <w:r>
        <w:t xml:space="preserve">Opera omnia, vol. I, Quaracchi, 1882; prior manuscript Latin-transcription audit.</w:t>
      </w:r>
    </w:p>
    <w:p>
      <w:pPr>
        <w:pStyle w:val="BodyText"/>
      </w:pPr>
      <w:r>
        <w:rPr>
          <w:b/>
          <w:bCs/>
        </w:rPr>
        <w:t xml:space="preserve">Use:</w:t>
      </w:r>
      <w:r>
        <w:t xml:space="preserve"> </w:t>
      </w:r>
      <w:r>
        <w:t xml:space="preserve">Theologically affirmed personal origins need not be added parts that constitute divine perfection.</w:t>
      </w:r>
      <w:r>
        <w:t xml:space="preserve"> </w:t>
      </w:r>
      <w:r>
        <w:rPr>
          <w:b/>
          <w:bCs/>
        </w:rPr>
        <w:t xml:space="preserve">Limit:</w:t>
      </w:r>
      <w:r>
        <w:t xml:space="preserve"> </w:t>
      </w:r>
      <w:r>
        <w:t xml:space="preserve">Trinitarian personal origin, created dependence, and free creative action need distinct accounts. This argument neither proves the Trinity nor explains every condition of free divine action.</w:t>
      </w:r>
    </w:p>
    <w:p>
      <w:pPr>
        <w:pStyle w:val="BodyText"/>
      </w:pPr>
      <w:hyperlink r:id="rId77">
        <w:r>
          <w:rPr>
            <w:rStyle w:val="Hyperlink"/>
          </w:rPr>
          <w:t xml:space="preserve">Reading / orientation address</w:t>
        </w:r>
      </w:hyperlink>
      <w:r>
        <w:t xml:space="preserve">. Specialist orientation; not the directly consulted primary witness.</w:t>
      </w:r>
    </w:p>
    <w:bookmarkEnd w:id="402"/>
    <w:bookmarkStart w:id="403" w:name="Xe4f3538f9a598684bdf376b8dc65fa6f47e99b5"/>
    <w:p>
      <w:pPr>
        <w:pStyle w:val="Heading4"/>
      </w:pPr>
      <w:r>
        <w:t xml:space="preserve">RD-BON-MEASURE · Bonaventure,</w:t>
      </w:r>
      <w:r>
        <w:t xml:space="preserve"> </w:t>
      </w:r>
      <w:r>
        <w:rPr>
          <w:i/>
          <w:iCs/>
        </w:rPr>
        <w:t xml:space="preserve">Itinerarium mentis in Deum</w:t>
      </w:r>
    </w:p>
    <w:p>
      <w:pPr>
        <w:pStyle w:val="FirstParagraph"/>
      </w:pPr>
      <w:r>
        <w:rPr>
          <w:b/>
          <w:bCs/>
        </w:rPr>
        <w:t xml:space="preserve">Locus:</w:t>
      </w:r>
      <w:r>
        <w:t xml:space="preserve"> </w:t>
      </w:r>
      <w:r>
        <w:t xml:space="preserve">II.10 (inherited register N6).</w:t>
      </w:r>
      <w:r>
        <w:t xml:space="preserve"> </w:t>
      </w:r>
      <w:r>
        <w:rPr>
          <w:b/>
          <w:bCs/>
        </w:rPr>
        <w:t xml:space="preserve">Status:</w:t>
      </w:r>
      <w:r>
        <w:t xml:space="preserve"> </w:t>
      </w:r>
      <w:r>
        <w:t xml:space="preserve">Inherited primary quotation; Latin Library access failed on this pass, no new critical collation.</w:t>
      </w:r>
    </w:p>
    <w:p>
      <w:pPr>
        <w:pStyle w:val="BodyText"/>
      </w:pPr>
      <w:r>
        <w:rPr>
          <w:b/>
          <w:bCs/>
        </w:rPr>
        <w:t xml:space="preserve">Edition / witness:</w:t>
      </w:r>
      <w:r>
        <w:t xml:space="preserve"> </w:t>
      </w:r>
      <w:r>
        <w:t xml:space="preserve">Opera omnia, vol. V, Quaracchi, 1891; manuscript working English translation of Latin Library transcription.</w:t>
      </w:r>
    </w:p>
    <w:p>
      <w:pPr>
        <w:pStyle w:val="BodyText"/>
      </w:pPr>
      <w:r>
        <w:rPr>
          <w:b/>
          <w:bCs/>
        </w:rPr>
        <w:t xml:space="preserve">Use:</w:t>
      </w:r>
      <w:r>
        <w:t xml:space="preserve"> </w:t>
      </w:r>
      <w:r>
        <w:t xml:space="preserve">A historical resource for finite measure as a positive condition of an achieved good.</w:t>
      </w:r>
      <w:r>
        <w:t xml:space="preserve"> </w:t>
      </w:r>
      <w:r>
        <w:rPr>
          <w:b/>
          <w:bCs/>
        </w:rPr>
        <w:t xml:space="preserve">Limit:</w:t>
      </w:r>
      <w:r>
        <w:t xml:space="preserve"> </w:t>
      </w:r>
      <w:r>
        <w:t xml:space="preserve">Melody, learning, and finite-history tests are constructive extensions; does not show every finite limitation or loss is good.</w:t>
      </w:r>
    </w:p>
    <w:p>
      <w:pPr>
        <w:pStyle w:val="BodyText"/>
      </w:pPr>
      <w:hyperlink r:id="rId77">
        <w:r>
          <w:rPr>
            <w:rStyle w:val="Hyperlink"/>
          </w:rPr>
          <w:t xml:space="preserve">Reading / orientation address</w:t>
        </w:r>
      </w:hyperlink>
      <w:r>
        <w:t xml:space="preserve">. Specialist orientation; not the directly consulted primary witness.</w:t>
      </w:r>
    </w:p>
    <w:bookmarkEnd w:id="403"/>
    <w:bookmarkStart w:id="404" w:name="X1a6a3d1e2138b5ea55c834e42330c0664692dd0"/>
    <w:p>
      <w:pPr>
        <w:pStyle w:val="Heading4"/>
      </w:pPr>
      <w:r>
        <w:t xml:space="preserve">RD-BON-SEP · Tim Noone and R. E. Houser,</w:t>
      </w:r>
      <w:r>
        <w:t xml:space="preserve"> </w:t>
      </w:r>
      <w:r>
        <w:rPr>
          <w:i/>
          <w:iCs/>
        </w:rPr>
        <w:t xml:space="preserve">Bonaventure, Stanford Encyclopedia of Philosophy</w:t>
      </w:r>
    </w:p>
    <w:p>
      <w:pPr>
        <w:pStyle w:val="FirstParagraph"/>
      </w:pPr>
      <w:r>
        <w:rPr>
          <w:b/>
          <w:bCs/>
        </w:rPr>
        <w:t xml:space="preserve">Locus:</w:t>
      </w:r>
      <w:r>
        <w:t xml:space="preserve"> </w:t>
      </w:r>
      <w:r>
        <w:t xml:space="preserve">§5 opening; §5.2 participation/aitiological argument; selected truth discussion.</w:t>
      </w:r>
      <w:r>
        <w:t xml:space="preserve"> </w:t>
      </w:r>
      <w:r>
        <w:rPr>
          <w:b/>
          <w:bCs/>
        </w:rPr>
        <w:t xml:space="preserve">Status:</w:t>
      </w:r>
      <w:r>
        <w:t xml:space="preserve"> </w:t>
      </w:r>
      <w:r>
        <w:t xml:space="preserve">Fresh publisher consultation of selected passages, 12 October 2026.</w:t>
      </w:r>
    </w:p>
    <w:p>
      <w:pPr>
        <w:pStyle w:val="BodyText"/>
      </w:pPr>
      <w:r>
        <w:rPr>
          <w:b/>
          <w:bCs/>
        </w:rPr>
        <w:t xml:space="preserve">Edition / witness:</w:t>
      </w:r>
      <w:r>
        <w:t xml:space="preserve"> </w:t>
      </w:r>
      <w:r>
        <w:t xml:space="preserve">Substantive revision 16 August 2023; current publisher text.</w:t>
      </w:r>
    </w:p>
    <w:p>
      <w:pPr>
        <w:pStyle w:val="BodyText"/>
      </w:pPr>
      <w:r>
        <w:rPr>
          <w:b/>
          <w:bCs/>
        </w:rPr>
        <w:t xml:space="preserve">Use:</w:t>
      </w:r>
      <w:r>
        <w:t xml:space="preserve"> </w:t>
      </w:r>
      <w:r>
        <w:t xml:space="preserve">Supplies Hexaëmeron 6.1 (Quaracchi V:360) and 1.13 (V:331), and a specialist account of participation and transcendental versus categorical attributes.</w:t>
      </w:r>
      <w:r>
        <w:t xml:space="preserve"> </w:t>
      </w:r>
      <w:r>
        <w:rPr>
          <w:b/>
          <w:bCs/>
        </w:rPr>
        <w:t xml:space="preserve">Limit:</w:t>
      </w:r>
      <w:r>
        <w:t xml:space="preserve"> </w:t>
      </w:r>
      <w:r>
        <w:t xml:space="preserve">Those Hexaëmeron primary loci were secondary-located, not freshly collated; the article interpretation does not establish the proposed account of divine agency.</w:t>
      </w:r>
    </w:p>
    <w:p>
      <w:pPr>
        <w:pStyle w:val="BodyText"/>
      </w:pPr>
      <w:hyperlink r:id="rId77">
        <w:r>
          <w:rPr>
            <w:rStyle w:val="Hyperlink"/>
          </w:rPr>
          <w:t xml:space="preserve">Reading / orientation address</w:t>
        </w:r>
      </w:hyperlink>
      <w:r>
        <w:t xml:space="preserve">.</w:t>
      </w:r>
    </w:p>
    <w:bookmarkEnd w:id="404"/>
    <w:bookmarkStart w:id="405" w:name="X52ae3967740fa263ff887e48ca8d823e55ed6e6"/>
    <w:p>
      <w:pPr>
        <w:pStyle w:val="Heading4"/>
      </w:pPr>
      <w:r>
        <w:t xml:space="preserve">RD-ERI-APPEAR · John Scottus Eriugena,</w:t>
      </w:r>
      <w:r>
        <w:t xml:space="preserve"> </w:t>
      </w:r>
      <w:r>
        <w:rPr>
          <w:i/>
          <w:iCs/>
        </w:rPr>
        <w:t xml:space="preserve">Periphyseon (The Division of Nature)</w:t>
      </w:r>
    </w:p>
    <w:p>
      <w:pPr>
        <w:pStyle w:val="FirstParagraph"/>
      </w:pPr>
      <w:r>
        <w:rPr>
          <w:b/>
          <w:bCs/>
        </w:rPr>
        <w:t xml:space="preserve">Locus:</w:t>
      </w:r>
      <w:r>
        <w:t xml:space="preserve"> </w:t>
      </w:r>
      <w:r>
        <w:t xml:space="preserve">I.446D; printed p. 31; inherited manuscript register E11 (inherited register E11).</w:t>
      </w:r>
      <w:r>
        <w:t xml:space="preserve"> </w:t>
      </w:r>
      <w:r>
        <w:rPr>
          <w:b/>
          <w:bCs/>
        </w:rPr>
        <w:t xml:space="preserve">Status:</w:t>
      </w:r>
      <w:r>
        <w:t xml:space="preserve"> </w:t>
      </w:r>
      <w:r>
        <w:t xml:space="preserve">Inherited supplied primary translation; no new critical Latin collation. URL is specialist orientation.</w:t>
      </w:r>
    </w:p>
    <w:p>
      <w:pPr>
        <w:pStyle w:val="BodyText"/>
      </w:pPr>
      <w:r>
        <w:rPr>
          <w:b/>
          <w:bCs/>
        </w:rPr>
        <w:t xml:space="preserve">Edition / witness:</w:t>
      </w:r>
      <w:r>
        <w:t xml:space="preserve"> </w:t>
      </w:r>
      <w:r>
        <w:t xml:space="preserve">Translated by I. P. Sheldon-Williams, revised by John J. O’Meara, Bellarmin/Dumbarton Oaks, 1987.</w:t>
      </w:r>
    </w:p>
    <w:p>
      <w:pPr>
        <w:pStyle w:val="BodyText"/>
      </w:pPr>
      <w:r>
        <w:rPr>
          <w:b/>
          <w:bCs/>
        </w:rPr>
        <w:t xml:space="preserve">Use:</w:t>
      </w:r>
      <w:r>
        <w:t xml:space="preserve"> </w:t>
      </w:r>
      <w:r>
        <w:t xml:space="preserve">A distinction between the source and how it appears, relevant to the recipient’s conditions.</w:t>
      </w:r>
      <w:r>
        <w:t xml:space="preserve"> </w:t>
      </w:r>
      <w:r>
        <w:rPr>
          <w:b/>
          <w:bCs/>
        </w:rPr>
        <w:t xml:space="preserve">Limit:</w:t>
      </w:r>
      <w:r>
        <w:t xml:space="preserve"> </w:t>
      </w:r>
      <w:r>
        <w:t xml:space="preserve">Does not cancel the stronger God–creature unity passages or by itself explain divine self-knowledge.</w:t>
      </w:r>
    </w:p>
    <w:p>
      <w:pPr>
        <w:pStyle w:val="BodyText"/>
      </w:pPr>
      <w:hyperlink r:id="rId84">
        <w:r>
          <w:rPr>
            <w:rStyle w:val="Hyperlink"/>
          </w:rPr>
          <w:t xml:space="preserve">Reading / orientation address</w:t>
        </w:r>
      </w:hyperlink>
      <w:r>
        <w:t xml:space="preserve">. Specialist orientation; not the directly consulted primary witness.</w:t>
      </w:r>
    </w:p>
    <w:bookmarkEnd w:id="405"/>
    <w:bookmarkStart w:id="406" w:name="Xc6e759c93d1e96004ec2bf31a76e738a6d60f85"/>
    <w:p>
      <w:pPr>
        <w:pStyle w:val="Heading4"/>
      </w:pPr>
      <w:r>
        <w:t xml:space="preserve">RD-ERI-EXPRESSION · John Scottus Eriugena,</w:t>
      </w:r>
      <w:r>
        <w:t xml:space="preserve"> </w:t>
      </w:r>
      <w:r>
        <w:rPr>
          <w:i/>
          <w:iCs/>
        </w:rPr>
        <w:t xml:space="preserve">Periphyseon (The Division of Nature)</w:t>
      </w:r>
    </w:p>
    <w:p>
      <w:pPr>
        <w:pStyle w:val="FirstParagraph"/>
      </w:pPr>
      <w:r>
        <w:rPr>
          <w:b/>
          <w:bCs/>
        </w:rPr>
        <w:t xml:space="preserve">Locus:</w:t>
      </w:r>
      <w:r>
        <w:t xml:space="preserve"> </w:t>
      </w:r>
      <w:r>
        <w:t xml:space="preserve">I.454B–C; printed p. 40; inherited manuscript register E4 (inherited register E4).</w:t>
      </w:r>
      <w:r>
        <w:t xml:space="preserve"> </w:t>
      </w:r>
      <w:r>
        <w:rPr>
          <w:b/>
          <w:bCs/>
        </w:rPr>
        <w:t xml:space="preserve">Status:</w:t>
      </w:r>
      <w:r>
        <w:t xml:space="preserve"> </w:t>
      </w:r>
      <w:r>
        <w:t xml:space="preserve">Inherited supplied primary quotation, not freshly critical-collated.</w:t>
      </w:r>
    </w:p>
    <w:p>
      <w:pPr>
        <w:pStyle w:val="BodyText"/>
      </w:pPr>
      <w:r>
        <w:rPr>
          <w:b/>
          <w:bCs/>
        </w:rPr>
        <w:t xml:space="preserve">Edition / witness:</w:t>
      </w:r>
      <w:r>
        <w:t xml:space="preserve"> </w:t>
      </w:r>
      <w:r>
        <w:t xml:space="preserve">Sheldon-Williams/O’Meara translation, 1987.</w:t>
      </w:r>
    </w:p>
    <w:p>
      <w:pPr>
        <w:pStyle w:val="BodyText"/>
      </w:pPr>
      <w:r>
        <w:rPr>
          <w:b/>
          <w:bCs/>
        </w:rPr>
        <w:t xml:space="preserve">Use:</w:t>
      </w:r>
      <w:r>
        <w:t xml:space="preserve"> </w:t>
      </w:r>
      <w:r>
        <w:t xml:space="preserve">Determinate expression is metaphysically important, not merely an observer’s optional inference.</w:t>
      </w:r>
      <w:r>
        <w:t xml:space="preserve"> </w:t>
      </w:r>
      <w:r>
        <w:rPr>
          <w:b/>
          <w:bCs/>
        </w:rPr>
        <w:t xml:space="preserve">Limit:</w:t>
      </w:r>
      <w:r>
        <w:t xml:space="preserve"> </w:t>
      </w:r>
      <w:r>
        <w:t xml:space="preserve">The analogy explicitly differs from divine nature; cannot import human learning or self-completion into God. Interpreting this through created reception is a constructive proposal.</w:t>
      </w:r>
    </w:p>
    <w:p>
      <w:pPr>
        <w:pStyle w:val="BodyText"/>
      </w:pPr>
      <w:hyperlink r:id="rId84">
        <w:r>
          <w:rPr>
            <w:rStyle w:val="Hyperlink"/>
          </w:rPr>
          <w:t xml:space="preserve">Reading / orientation address</w:t>
        </w:r>
      </w:hyperlink>
      <w:r>
        <w:t xml:space="preserve">. Specialist orientation; not the directly consulted primary witness.</w:t>
      </w:r>
    </w:p>
    <w:bookmarkEnd w:id="406"/>
    <w:bookmarkStart w:id="407" w:name="X28d7f030a94ca8362064121b62b66402ed301cb"/>
    <w:p>
      <w:pPr>
        <w:pStyle w:val="Heading4"/>
      </w:pPr>
      <w:r>
        <w:t xml:space="preserve">RD-ERI-PRESSURE · John Scottus Eriugena,</w:t>
      </w:r>
      <w:r>
        <w:t xml:space="preserve"> </w:t>
      </w:r>
      <w:r>
        <w:rPr>
          <w:i/>
          <w:iCs/>
        </w:rPr>
        <w:t xml:space="preserve">Periphyseon (The Division of Nature)</w:t>
      </w:r>
    </w:p>
    <w:p>
      <w:pPr>
        <w:pStyle w:val="FirstParagraph"/>
      </w:pPr>
      <w:r>
        <w:rPr>
          <w:b/>
          <w:bCs/>
        </w:rPr>
        <w:t xml:space="preserve">Locus:</w:t>
      </w:r>
      <w:r>
        <w:t xml:space="preserve"> </w:t>
      </w:r>
      <w:r>
        <w:t xml:space="preserve">III.678C–D, p. 305; II.589B, pp. 195–196; III.689B, pp. 317–318 (inherited E5–E8).</w:t>
      </w:r>
      <w:r>
        <w:t xml:space="preserve"> </w:t>
      </w:r>
      <w:r>
        <w:rPr>
          <w:b/>
          <w:bCs/>
        </w:rPr>
        <w:t xml:space="preserve">Status:</w:t>
      </w:r>
      <w:r>
        <w:t xml:space="preserve"> </w:t>
      </w:r>
      <w:r>
        <w:t xml:space="preserve">Inherited supplied primary quotations; no fresh complete critical-edition collation.</w:t>
      </w:r>
    </w:p>
    <w:p>
      <w:pPr>
        <w:pStyle w:val="BodyText"/>
      </w:pPr>
      <w:r>
        <w:rPr>
          <w:b/>
          <w:bCs/>
        </w:rPr>
        <w:t xml:space="preserve">Edition / witness:</w:t>
      </w:r>
      <w:r>
        <w:t xml:space="preserve"> </w:t>
      </w:r>
      <w:r>
        <w:t xml:space="preserve">Sheldon-Williams/O’Meara translation, 1987.</w:t>
      </w:r>
    </w:p>
    <w:p>
      <w:pPr>
        <w:pStyle w:val="BodyText"/>
      </w:pPr>
      <w:r>
        <w:rPr>
          <w:b/>
          <w:bCs/>
        </w:rPr>
        <w:t xml:space="preserve">Use:</w:t>
      </w:r>
      <w:r>
        <w:t xml:space="preserve"> </w:t>
      </w:r>
      <w:r>
        <w:t xml:space="preserve">The adopted account must explicitly refuse numerical God–creature identity and completion of God by creation if either is required by the historical text.</w:t>
      </w:r>
      <w:r>
        <w:t xml:space="preserve"> </w:t>
      </w:r>
      <w:r>
        <w:rPr>
          <w:b/>
          <w:bCs/>
        </w:rPr>
        <w:t xml:space="preserve">Limit:</w:t>
      </w:r>
      <w:r>
        <w:t xml:space="preserve"> </w:t>
      </w:r>
      <w:r>
        <w:t xml:space="preserve">Do not harmonize away the strong wording. Preserve</w:t>
      </w:r>
      <w:r>
        <w:t xml:space="preserve"> </w:t>
      </w:r>
      <w:r>
        <w:t xml:space="preserve">“</w:t>
      </w:r>
      <w:r>
        <w:t xml:space="preserve">as it were</w:t>
      </w:r>
      <w:r>
        <w:t xml:space="preserve">”</w:t>
      </w:r>
      <w:r>
        <w:t xml:space="preserve"> </w:t>
      </w:r>
      <w:r>
        <w:t xml:space="preserve">and</w:t>
      </w:r>
      <w:r>
        <w:t xml:space="preserve"> </w:t>
      </w:r>
      <w:r>
        <w:t xml:space="preserve">“</w:t>
      </w:r>
      <w:r>
        <w:t xml:space="preserve">in something</w:t>
      </w:r>
      <w:r>
        <w:t xml:space="preserve">”</w:t>
      </w:r>
      <w:r>
        <w:t xml:space="preserve"> </w:t>
      </w:r>
      <w:r>
        <w:t xml:space="preserve">in III.689B. III.678D says the immediate unity passage is not about the Incarnation.</w:t>
      </w:r>
    </w:p>
    <w:p>
      <w:pPr>
        <w:pStyle w:val="BodyText"/>
      </w:pPr>
      <w:hyperlink r:id="rId84">
        <w:r>
          <w:rPr>
            <w:rStyle w:val="Hyperlink"/>
          </w:rPr>
          <w:t xml:space="preserve">Reading / orientation address</w:t>
        </w:r>
      </w:hyperlink>
      <w:r>
        <w:t xml:space="preserve">. Specialist orientation; not the directly consulted primary witness.</w:t>
      </w:r>
    </w:p>
    <w:bookmarkEnd w:id="407"/>
    <w:bookmarkStart w:id="408" w:name="X640ed9b88f3e7474b4208bd3297483e16c68bae"/>
    <w:p>
      <w:pPr>
        <w:pStyle w:val="Heading4"/>
      </w:pPr>
      <w:r>
        <w:t xml:space="preserve">RD-ERI-SEP · Dermot Moran,</w:t>
      </w:r>
      <w:r>
        <w:t xml:space="preserve"> </w:t>
      </w:r>
      <w:r>
        <w:rPr>
          <w:i/>
          <w:iCs/>
        </w:rPr>
        <w:t xml:space="preserve">John Scottus Eriugena, Stanford Encyclopedia of Philosophy</w:t>
      </w:r>
    </w:p>
    <w:p>
      <w:pPr>
        <w:pStyle w:val="FirstParagraph"/>
      </w:pPr>
      <w:r>
        <w:rPr>
          <w:b/>
          <w:bCs/>
        </w:rPr>
        <w:t xml:space="preserve">Locus:</w:t>
      </w:r>
      <w:r>
        <w:t xml:space="preserve"> </w:t>
      </w:r>
      <w:r>
        <w:t xml:space="preserve">§§3.3–3.4; selected §3.9 passages on human nature and unity.</w:t>
      </w:r>
      <w:r>
        <w:t xml:space="preserve"> </w:t>
      </w:r>
      <w:r>
        <w:rPr>
          <w:b/>
          <w:bCs/>
        </w:rPr>
        <w:t xml:space="preserve">Status:</w:t>
      </w:r>
      <w:r>
        <w:t xml:space="preserve"> </w:t>
      </w:r>
      <w:r>
        <w:t xml:space="preserve">Fresh publisher consultation of selected passages, 12 October 2026.</w:t>
      </w:r>
    </w:p>
    <w:p>
      <w:pPr>
        <w:pStyle w:val="BodyText"/>
      </w:pPr>
      <w:r>
        <w:rPr>
          <w:b/>
          <w:bCs/>
        </w:rPr>
        <w:t xml:space="preserve">Edition / witness:</w:t>
      </w:r>
      <w:r>
        <w:t xml:space="preserve"> </w:t>
      </w:r>
      <w:r>
        <w:t xml:space="preserve">Substantive revision 30 October 2019; current publisher text.</w:t>
      </w:r>
    </w:p>
    <w:p>
      <w:pPr>
        <w:pStyle w:val="BodyText"/>
      </w:pPr>
      <w:r>
        <w:rPr>
          <w:b/>
          <w:bCs/>
        </w:rPr>
        <w:t xml:space="preserve">Use:</w:t>
      </w:r>
      <w:r>
        <w:t xml:space="preserve"> </w:t>
      </w:r>
      <w:r>
        <w:t xml:space="preserve">Confirms the need for critical retrieval rather than an effortless historical synthesis; provides I.455B and IV.796B as primary leads.</w:t>
      </w:r>
      <w:r>
        <w:t xml:space="preserve"> </w:t>
      </w:r>
      <w:r>
        <w:rPr>
          <w:b/>
          <w:bCs/>
        </w:rPr>
        <w:t xml:space="preserve">Limit:</w:t>
      </w:r>
      <w:r>
        <w:t xml:space="preserve"> </w:t>
      </w:r>
      <w:r>
        <w:t xml:space="preserve">I.455B and IV.796B are secondary-located in this pass, not directly collated primary quotations. The article offers an interpretation that must be distinguished from the project’s constructive choice.</w:t>
      </w:r>
    </w:p>
    <w:p>
      <w:pPr>
        <w:pStyle w:val="BodyText"/>
      </w:pPr>
      <w:hyperlink r:id="rId84">
        <w:r>
          <w:rPr>
            <w:rStyle w:val="Hyperlink"/>
          </w:rPr>
          <w:t xml:space="preserve">Reading / orientation address</w:t>
        </w:r>
      </w:hyperlink>
      <w:r>
        <w:t xml:space="preserve">.</w:t>
      </w:r>
    </w:p>
    <w:bookmarkEnd w:id="408"/>
    <w:bookmarkEnd w:id="409"/>
    <w:bookmarkStart w:id="414" w:name="ratzinger-benedict-xvi"/>
    <w:p>
      <w:pPr>
        <w:pStyle w:val="Heading3"/>
      </w:pPr>
      <w:r>
        <w:t xml:space="preserve">Ratzinger / Benedict XVI</w:t>
      </w:r>
    </w:p>
    <w:bookmarkStart w:id="410" w:name="X6a2cfc553b634e3d1a663250ff0db321464201d"/>
    <w:p>
      <w:pPr>
        <w:pStyle w:val="Heading4"/>
      </w:pPr>
      <w:r>
        <w:t xml:space="preserve">RX-CV · Benedict XVI (Joseph Ratzinger),</w:t>
      </w:r>
      <w:r>
        <w:t xml:space="preserve"> </w:t>
      </w:r>
      <w:r>
        <w:rPr>
          <w:i/>
          <w:iCs/>
        </w:rPr>
        <w:t xml:space="preserve">Caritas in veritate</w:t>
      </w:r>
    </w:p>
    <w:p>
      <w:pPr>
        <w:pStyle w:val="FirstParagraph"/>
      </w:pPr>
      <w:r>
        <w:rPr>
          <w:b/>
          <w:bCs/>
        </w:rPr>
        <w:t xml:space="preserve">Locus:</w:t>
      </w:r>
      <w:r>
        <w:t xml:space="preserve"> </w:t>
      </w:r>
      <w:r>
        <w:t xml:space="preserve">§§2–5, 52–55; especially §§53–54.</w:t>
      </w:r>
      <w:r>
        <w:t xml:space="preserve"> </w:t>
      </w:r>
      <w:r>
        <w:rPr>
          <w:b/>
          <w:bCs/>
        </w:rPr>
        <w:t xml:space="preserve">Status:</w:t>
      </w:r>
      <w:r>
        <w:t xml:space="preserve"> </w:t>
      </w:r>
      <w:r>
        <w:t xml:space="preserve">consulted-primary-transcript</w:t>
      </w:r>
    </w:p>
    <w:p>
      <w:pPr>
        <w:pStyle w:val="BodyText"/>
      </w:pPr>
      <w:r>
        <w:rPr>
          <w:b/>
          <w:bCs/>
        </w:rPr>
        <w:t xml:space="preserve">Edition / witness:</w:t>
      </w:r>
      <w:r>
        <w:t xml:space="preserve"> </w:t>
      </w:r>
      <w:r>
        <w:t xml:space="preserve">Official English text represented by an unofficial Vatican-scraping transcript; 29 June 2009. Official endpoint inaccessible and not line-collated.</w:t>
      </w:r>
    </w:p>
    <w:p>
      <w:pPr>
        <w:pStyle w:val="BodyText"/>
      </w:pPr>
      <w:r>
        <w:rPr>
          <w:b/>
          <w:bCs/>
        </w:rPr>
        <w:t xml:space="preserve">Use:</w:t>
      </w:r>
      <w:r>
        <w:t xml:space="preserve"> </w:t>
      </w:r>
      <w:r>
        <w:t xml:space="preserve">Theological and social affirmation of communion that preserves persons; a reason to examine real relations without counting every personal difference as a constituent part.</w:t>
      </w:r>
      <w:r>
        <w:t xml:space="preserve"> </w:t>
      </w:r>
      <w:r>
        <w:rPr>
          <w:b/>
          <w:bCs/>
        </w:rPr>
        <w:t xml:space="preserve">Limit:</w:t>
      </w:r>
      <w:r>
        <w:t xml:space="preserve"> </w:t>
      </w:r>
      <w:r>
        <w:t xml:space="preserve">Does not prove how divine action can be free while God remains intrinsically unchanged. Human growth through relationships does not establish divine change. Trinitarian personal origins are not alternative acts of creation.</w:t>
      </w:r>
    </w:p>
    <w:p>
      <w:pPr>
        <w:pStyle w:val="BodyText"/>
      </w:pPr>
      <w:hyperlink r:id="rId95">
        <w:r>
          <w:rPr>
            <w:rStyle w:val="Hyperlink"/>
          </w:rPr>
          <w:t xml:space="preserve">Reading / orientation address</w:t>
        </w:r>
      </w:hyperlink>
      <w:r>
        <w:t xml:space="preserve"> </w:t>
      </w:r>
      <w:r>
        <w:t xml:space="preserve">·</w:t>
      </w:r>
      <w:r>
        <w:t xml:space="preserve"> </w:t>
      </w:r>
      <w:hyperlink r:id="rId161">
        <w:r>
          <w:rPr>
            <w:rStyle w:val="Hyperlink"/>
          </w:rPr>
          <w:t xml:space="preserve">Consulted transcript / earlier witness</w:t>
        </w:r>
      </w:hyperlink>
      <w:r>
        <w:t xml:space="preserve">. Official reading address; access was blocked in this consultation.</w:t>
      </w:r>
    </w:p>
    <w:bookmarkEnd w:id="410"/>
    <w:bookmarkStart w:id="411" w:name="X816797bd92b547994c6c0e160183a82cf57318f"/>
    <w:p>
      <w:pPr>
        <w:pStyle w:val="Heading4"/>
      </w:pPr>
      <w:r>
        <w:t xml:space="preserve">RX-DCE · Benedict XVI (Joseph Ratzinger),</w:t>
      </w:r>
      <w:r>
        <w:t xml:space="preserve"> </w:t>
      </w:r>
      <w:r>
        <w:rPr>
          <w:i/>
          <w:iCs/>
        </w:rPr>
        <w:t xml:space="preserve">Deus caritas est</w:t>
      </w:r>
    </w:p>
    <w:p>
      <w:pPr>
        <w:pStyle w:val="FirstParagraph"/>
      </w:pPr>
      <w:r>
        <w:rPr>
          <w:b/>
          <w:bCs/>
        </w:rPr>
        <w:t xml:space="preserve">Locus:</w:t>
      </w:r>
      <w:r>
        <w:t xml:space="preserve"> </w:t>
      </w:r>
      <w:r>
        <w:t xml:space="preserve">§§9–10; especially §10.</w:t>
      </w:r>
      <w:r>
        <w:t xml:space="preserve"> </w:t>
      </w:r>
      <w:r>
        <w:rPr>
          <w:b/>
          <w:bCs/>
        </w:rPr>
        <w:t xml:space="preserve">Status:</w:t>
      </w:r>
      <w:r>
        <w:t xml:space="preserve"> </w:t>
      </w:r>
      <w:r>
        <w:t xml:space="preserve">consulted-primary-transcript</w:t>
      </w:r>
    </w:p>
    <w:p>
      <w:pPr>
        <w:pStyle w:val="BodyText"/>
      </w:pPr>
      <w:r>
        <w:rPr>
          <w:b/>
          <w:bCs/>
        </w:rPr>
        <w:t xml:space="preserve">Edition / witness:</w:t>
      </w:r>
      <w:r>
        <w:t xml:space="preserve"> </w:t>
      </w:r>
      <w:r>
        <w:t xml:space="preserve">Official English text represented by an unofficial Vatican-scraping transcript; 25 December 2005. Official endpoint inaccessible and not line-collated.</w:t>
      </w:r>
    </w:p>
    <w:p>
      <w:pPr>
        <w:pStyle w:val="BodyText"/>
      </w:pPr>
      <w:r>
        <w:rPr>
          <w:b/>
          <w:bCs/>
        </w:rPr>
        <w:t xml:space="preserve">Use:</w:t>
      </w:r>
      <w:r>
        <w:t xml:space="preserve"> </w:t>
      </w:r>
      <w:r>
        <w:t xml:space="preserve">Christian theological conjunction of intelligibility, willed creation, elective love, and union without fusion.</w:t>
      </w:r>
      <w:r>
        <w:t xml:space="preserve"> </w:t>
      </w:r>
      <w:r>
        <w:rPr>
          <w:b/>
          <w:bCs/>
        </w:rPr>
        <w:t xml:space="preserve">Limit:</w:t>
      </w:r>
      <w:r>
        <w:t xml:space="preserve"> </w:t>
      </w:r>
      <w:r>
        <w:t xml:space="preserve">Does not establish contingency or explain what makes a particular divine action actual. Biblical language does not prove intrinsic divine change; the contrast with Aristotle is not a complete historical assessment.</w:t>
      </w:r>
    </w:p>
    <w:p>
      <w:pPr>
        <w:pStyle w:val="BodyText"/>
      </w:pPr>
      <w:hyperlink r:id="rId163">
        <w:r>
          <w:rPr>
            <w:rStyle w:val="Hyperlink"/>
          </w:rPr>
          <w:t xml:space="preserve">Reading / orientation address</w:t>
        </w:r>
      </w:hyperlink>
      <w:r>
        <w:t xml:space="preserve"> </w:t>
      </w:r>
      <w:r>
        <w:t xml:space="preserve">·</w:t>
      </w:r>
      <w:r>
        <w:t xml:space="preserve"> </w:t>
      </w:r>
      <w:hyperlink r:id="rId164">
        <w:r>
          <w:rPr>
            <w:rStyle w:val="Hyperlink"/>
          </w:rPr>
          <w:t xml:space="preserve">Consulted transcript / earlier witness</w:t>
        </w:r>
      </w:hyperlink>
      <w:r>
        <w:t xml:space="preserve">. Official reading address; access was blocked in this consultation.</w:t>
      </w:r>
    </w:p>
    <w:bookmarkEnd w:id="411"/>
    <w:bookmarkStart w:id="412" w:name="Xc2b211c9c8da5e79292ca848909a8b50110e9cc"/>
    <w:p>
      <w:pPr>
        <w:pStyle w:val="Heading4"/>
      </w:pPr>
      <w:r>
        <w:t xml:space="preserve">RX-SS · Benedict XVI (Joseph Ratzinger),</w:t>
      </w:r>
      <w:r>
        <w:t xml:space="preserve"> </w:t>
      </w:r>
      <w:r>
        <w:rPr>
          <w:i/>
          <w:iCs/>
        </w:rPr>
        <w:t xml:space="preserve">Spe salvi</w:t>
      </w:r>
    </w:p>
    <w:p>
      <w:pPr>
        <w:pStyle w:val="FirstParagraph"/>
      </w:pPr>
      <w:r>
        <w:rPr>
          <w:b/>
          <w:bCs/>
        </w:rPr>
        <w:t xml:space="preserve">Locus:</w:t>
      </w:r>
      <w:r>
        <w:t xml:space="preserve"> </w:t>
      </w:r>
      <w:r>
        <w:t xml:space="preserve">§§14–15.</w:t>
      </w:r>
      <w:r>
        <w:t xml:space="preserve"> </w:t>
      </w:r>
      <w:r>
        <w:rPr>
          <w:b/>
          <w:bCs/>
        </w:rPr>
        <w:t xml:space="preserve">Status:</w:t>
      </w:r>
      <w:r>
        <w:t xml:space="preserve"> </w:t>
      </w:r>
      <w:r>
        <w:t xml:space="preserve">consulted-primary-transcript</w:t>
      </w:r>
    </w:p>
    <w:p>
      <w:pPr>
        <w:pStyle w:val="BodyText"/>
      </w:pPr>
      <w:r>
        <w:rPr>
          <w:b/>
          <w:bCs/>
        </w:rPr>
        <w:t xml:space="preserve">Edition / witness:</w:t>
      </w:r>
      <w:r>
        <w:t xml:space="preserve"> </w:t>
      </w:r>
      <w:r>
        <w:t xml:space="preserve">Official English text represented by an unofficial Vatican-scraping transcript; 30 November 2007. Official endpoint inaccessible and not line-collated.</w:t>
      </w:r>
    </w:p>
    <w:p>
      <w:pPr>
        <w:pStyle w:val="BodyText"/>
      </w:pPr>
      <w:r>
        <w:rPr>
          <w:b/>
          <w:bCs/>
        </w:rPr>
        <w:t xml:space="preserve">Use:</w:t>
      </w:r>
      <w:r>
        <w:t xml:space="preserve"> </w:t>
      </w:r>
      <w:r>
        <w:t xml:space="preserve">Theological application: communion has communal and practical scope rather than isolated absorption into an absolute.</w:t>
      </w:r>
      <w:r>
        <w:t xml:space="preserve"> </w:t>
      </w:r>
      <w:r>
        <w:rPr>
          <w:b/>
          <w:bCs/>
        </w:rPr>
        <w:t xml:space="preserve">Limit:</w:t>
      </w:r>
      <w:r>
        <w:t xml:space="preserve"> </w:t>
      </w:r>
      <w:r>
        <w:t xml:space="preserve">Not an independent metaphysical bridge to divine simplicity, freedom, or knowledge without learning from effects.</w:t>
      </w:r>
    </w:p>
    <w:p>
      <w:pPr>
        <w:pStyle w:val="BodyText"/>
      </w:pPr>
      <w:hyperlink r:id="rId166">
        <w:r>
          <w:rPr>
            <w:rStyle w:val="Hyperlink"/>
          </w:rPr>
          <w:t xml:space="preserve">Reading / orientation address</w:t>
        </w:r>
      </w:hyperlink>
      <w:r>
        <w:t xml:space="preserve"> </w:t>
      </w:r>
      <w:r>
        <w:t xml:space="preserve">·</w:t>
      </w:r>
      <w:r>
        <w:t xml:space="preserve"> </w:t>
      </w:r>
      <w:hyperlink r:id="rId167">
        <w:r>
          <w:rPr>
            <w:rStyle w:val="Hyperlink"/>
          </w:rPr>
          <w:t xml:space="preserve">Consulted transcript / earlier witness</w:t>
        </w:r>
      </w:hyperlink>
      <w:r>
        <w:t xml:space="preserve">. Official reading address; access was blocked in this consultation.</w:t>
      </w:r>
    </w:p>
    <w:bookmarkEnd w:id="412"/>
    <w:bookmarkStart w:id="413" w:name="X81d121bbf437e9570a634872676d0dc4c98d755"/>
    <w:p>
      <w:pPr>
        <w:pStyle w:val="Heading4"/>
      </w:pPr>
      <w:r>
        <w:t xml:space="preserve">RX-PERSON · Joseph Ratzinger,</w:t>
      </w:r>
      <w:r>
        <w:t xml:space="preserve"> </w:t>
      </w:r>
      <w:r>
        <w:rPr>
          <w:i/>
          <w:iCs/>
        </w:rPr>
        <w:t xml:space="preserve">Concerning the Notion of Person in Theology</w:t>
      </w:r>
    </w:p>
    <w:p>
      <w:pPr>
        <w:pStyle w:val="FirstParagraph"/>
      </w:pPr>
      <w:r>
        <w:rPr>
          <w:b/>
          <w:bCs/>
        </w:rPr>
        <w:t xml:space="preserve">Locus:</w:t>
      </w:r>
      <w:r>
        <w:t xml:space="preserve"> </w:t>
      </w:r>
      <w:r>
        <w:t xml:space="preserve">Communio 17 (1990), 439–454.</w:t>
      </w:r>
      <w:r>
        <w:t xml:space="preserve"> </w:t>
      </w:r>
      <w:r>
        <w:rPr>
          <w:b/>
          <w:bCs/>
        </w:rPr>
        <w:t xml:space="preserve">Status:</w:t>
      </w:r>
      <w:r>
        <w:t xml:space="preserve"> </w:t>
      </w:r>
      <w:r>
        <w:t xml:space="preserve">unconsulted-primary-lead</w:t>
      </w:r>
    </w:p>
    <w:p>
      <w:pPr>
        <w:pStyle w:val="BodyText"/>
      </w:pPr>
      <w:r>
        <w:rPr>
          <w:b/>
          <w:bCs/>
        </w:rPr>
        <w:t xml:space="preserve">Edition / witness:</w:t>
      </w:r>
      <w:r>
        <w:t xml:space="preserve"> </w:t>
      </w:r>
      <w:r>
        <w:t xml:space="preserve">Bibliographic lead only; publisher endpoint inaccessible.</w:t>
      </w:r>
    </w:p>
    <w:p>
      <w:pPr>
        <w:pStyle w:val="BodyText"/>
      </w:pPr>
      <w:r>
        <w:rPr>
          <w:b/>
          <w:bCs/>
        </w:rPr>
        <w:t xml:space="preserve">Use:</w:t>
      </w:r>
      <w:r>
        <w:t xml:space="preserve"> </w:t>
      </w:r>
      <w:r>
        <w:t xml:space="preserve">Nothing independently established by this research pass.</w:t>
      </w:r>
      <w:r>
        <w:t xml:space="preserve"> </w:t>
      </w:r>
      <w:r>
        <w:rPr>
          <w:b/>
          <w:bCs/>
        </w:rPr>
        <w:t xml:space="preserve">Limit:</w:t>
      </w:r>
      <w:r>
        <w:t xml:space="preserve"> </w:t>
      </w:r>
      <w:r>
        <w:t xml:space="preserve">Do not quote or attribute detailed technical arguments to this unconsulted essay; landing URL itself could not be verified against publisher output.</w:t>
      </w:r>
    </w:p>
    <w:p>
      <w:pPr>
        <w:pStyle w:val="BodyText"/>
      </w:pPr>
      <w:hyperlink r:id="rId169">
        <w:r>
          <w:rPr>
            <w:rStyle w:val="Hyperlink"/>
          </w:rPr>
          <w:t xml:space="preserve">Reading / orientation address</w:t>
        </w:r>
      </w:hyperlink>
      <w:r>
        <w:t xml:space="preserve">. Unverified publisher lead.</w:t>
      </w:r>
    </w:p>
    <w:bookmarkEnd w:id="413"/>
    <w:bookmarkEnd w:id="414"/>
    <w:bookmarkStart w:id="422" w:name="earlier-page-primary-controls"/>
    <w:p>
      <w:pPr>
        <w:pStyle w:val="Heading3"/>
      </w:pPr>
      <w:r>
        <w:t xml:space="preserve">Earlier-page primary controls</w:t>
      </w:r>
    </w:p>
    <w:bookmarkStart w:id="415" w:name="rd-aq-c-thomas-aquinas-summa-theologiae"/>
    <w:p>
      <w:pPr>
        <w:pStyle w:val="Heading4"/>
      </w:pPr>
      <w:r>
        <w:t xml:space="preserve">RD-AQ-C · Thomas Aquinas,</w:t>
      </w:r>
      <w:r>
        <w:t xml:space="preserve"> </w:t>
      </w:r>
      <w:r>
        <w:rPr>
          <w:i/>
          <w:iCs/>
        </w:rPr>
        <w:t xml:space="preserve">Summa theologiae</w:t>
      </w:r>
    </w:p>
    <w:p>
      <w:pPr>
        <w:pStyle w:val="FirstParagraph"/>
      </w:pPr>
      <w:r>
        <w:rPr>
          <w:b/>
          <w:bCs/>
        </w:rPr>
        <w:t xml:space="preserve">Locus:</w:t>
      </w:r>
      <w:r>
        <w:t xml:space="preserve"> </w:t>
      </w:r>
      <w:r>
        <w:t xml:space="preserve">I, q. 3, a. 7, respondeo.</w:t>
      </w:r>
      <w:r>
        <w:t xml:space="preserve"> </w:t>
      </w:r>
      <w:r>
        <w:rPr>
          <w:b/>
          <w:bCs/>
        </w:rPr>
        <w:t xml:space="preserve">Status:</w:t>
      </w:r>
      <w:r>
        <w:t xml:space="preserve"> </w:t>
      </w:r>
      <w:r>
        <w:t xml:space="preserve">Inherited directly consulted primary translation from Participation and Beyond Participation; not newly collated for page III.</w:t>
      </w:r>
    </w:p>
    <w:p>
      <w:pPr>
        <w:pStyle w:val="BodyText"/>
      </w:pPr>
      <w:r>
        <w:rPr>
          <w:b/>
          <w:bCs/>
        </w:rPr>
        <w:t xml:space="preserve">Edition / witness:</w:t>
      </w:r>
      <w:r>
        <w:t xml:space="preserve"> </w:t>
      </w:r>
      <w:r>
        <w:t xml:space="preserve">English Dominican Fathers, Complete American Edition; Gutenberg #17611 witness. New Advent is a public reading address.</w:t>
      </w:r>
    </w:p>
    <w:p>
      <w:pPr>
        <w:pStyle w:val="BodyText"/>
      </w:pPr>
      <w:r>
        <w:rPr>
          <w:b/>
          <w:bCs/>
        </w:rPr>
        <w:t xml:space="preserve">Use:</w:t>
      </w:r>
      <w:r>
        <w:t xml:space="preserve"> </w:t>
      </w:r>
      <w:r>
        <w:t xml:space="preserve">A historical resource for the argument from dependence on constituents; different concepts do not by themselves establish proper parts.</w:t>
      </w:r>
      <w:r>
        <w:t xml:space="preserve"> </w:t>
      </w:r>
      <w:r>
        <w:rPr>
          <w:b/>
          <w:bCs/>
        </w:rPr>
        <w:t xml:space="preserve">Limit:</w:t>
      </w:r>
      <w:r>
        <w:t xml:space="preserve"> </w:t>
      </w:r>
      <w:r>
        <w:t xml:space="preserve">Efficient uncausedness alone does not prove full simplicity. The modern KD reconstruction is not Aquinas’s complete argument.</w:t>
      </w:r>
    </w:p>
    <w:p>
      <w:pPr>
        <w:pStyle w:val="BodyText"/>
      </w:pPr>
      <w:hyperlink r:id="rId171">
        <w:r>
          <w:rPr>
            <w:rStyle w:val="Hyperlink"/>
          </w:rPr>
          <w:t xml:space="preserve">Reading / orientation address</w:t>
        </w:r>
      </w:hyperlink>
      <w:r>
        <w:t xml:space="preserve"> </w:t>
      </w:r>
      <w:r>
        <w:t xml:space="preserve">·</w:t>
      </w:r>
      <w:r>
        <w:t xml:space="preserve"> </w:t>
      </w:r>
      <w:hyperlink r:id="rId172">
        <w:r>
          <w:rPr>
            <w:rStyle w:val="Hyperlink"/>
          </w:rPr>
          <w:t xml:space="preserve">Consulted transcript / earlier witness</w:t>
        </w:r>
      </w:hyperlink>
      <w:r>
        <w:t xml:space="preserve">.</w:t>
      </w:r>
    </w:p>
    <w:bookmarkEnd w:id="415"/>
    <w:bookmarkStart w:id="416" w:name="rd-aq-k-thomas-aquinas-summa-theologiae"/>
    <w:p>
      <w:pPr>
        <w:pStyle w:val="Heading4"/>
      </w:pPr>
      <w:r>
        <w:t xml:space="preserve">RD-AQ-K · Thomas Aquinas,</w:t>
      </w:r>
      <w:r>
        <w:t xml:space="preserve"> </w:t>
      </w:r>
      <w:r>
        <w:rPr>
          <w:i/>
          <w:iCs/>
        </w:rPr>
        <w:t xml:space="preserve">Summa theologiae</w:t>
      </w:r>
    </w:p>
    <w:p>
      <w:pPr>
        <w:pStyle w:val="FirstParagraph"/>
      </w:pPr>
      <w:r>
        <w:rPr>
          <w:b/>
          <w:bCs/>
        </w:rPr>
        <w:t xml:space="preserve">Locus:</w:t>
      </w:r>
      <w:r>
        <w:t xml:space="preserve"> </w:t>
      </w:r>
      <w:r>
        <w:t xml:space="preserve">I, q. 14, aa. 5, 8–9; especially a. 8, respondeo and ad 1/ad 3.</w:t>
      </w:r>
      <w:r>
        <w:t xml:space="preserve"> </w:t>
      </w:r>
      <w:r>
        <w:rPr>
          <w:b/>
          <w:bCs/>
        </w:rPr>
        <w:t xml:space="preserve">Status:</w:t>
      </w:r>
      <w:r>
        <w:t xml:space="preserve"> </w:t>
      </w:r>
      <w:r>
        <w:t xml:space="preserve">Inherited direct consultation of aa. 5 and 8 in Beyond Participation; a. 9 inherited from manuscript register N11, not freshly checked here.</w:t>
      </w:r>
    </w:p>
    <w:p>
      <w:pPr>
        <w:pStyle w:val="BodyText"/>
      </w:pPr>
      <w:r>
        <w:rPr>
          <w:b/>
          <w:bCs/>
        </w:rPr>
        <w:t xml:space="preserve">Edition / witness:</w:t>
      </w:r>
      <w:r>
        <w:t xml:space="preserve"> </w:t>
      </w:r>
      <w:r>
        <w:t xml:space="preserve">English Dominican Fathers translation; Gutenberg #17611 and inherited manuscript source register.</w:t>
      </w:r>
    </w:p>
    <w:p>
      <w:pPr>
        <w:pStyle w:val="BodyText"/>
      </w:pPr>
      <w:r>
        <w:rPr>
          <w:b/>
          <w:bCs/>
        </w:rPr>
        <w:t xml:space="preserve">Use:</w:t>
      </w:r>
      <w:r>
        <w:t xml:space="preserve"> </w:t>
      </w:r>
      <w:r>
        <w:t xml:space="preserve">Choice, knowledge through causing, and knowledge of possibilities need distinct explanations.</w:t>
      </w:r>
      <w:r>
        <w:t xml:space="preserve"> </w:t>
      </w:r>
      <w:r>
        <w:rPr>
          <w:b/>
          <w:bCs/>
        </w:rPr>
        <w:t xml:space="preserve">Limit:</w:t>
      </w:r>
      <w:r>
        <w:t xml:space="preserve"> </w:t>
      </w:r>
      <w:r>
        <w:t xml:space="preserve">Does not independently establish God’s existence, unrestricted cognitive perfection, knowledge of a particular actual choice, or knowledge of every permitted creaturely act.</w:t>
      </w:r>
    </w:p>
    <w:p>
      <w:pPr>
        <w:pStyle w:val="BodyText"/>
      </w:pPr>
      <w:hyperlink r:id="rId174">
        <w:r>
          <w:rPr>
            <w:rStyle w:val="Hyperlink"/>
          </w:rPr>
          <w:t xml:space="preserve">Reading / orientation address</w:t>
        </w:r>
      </w:hyperlink>
      <w:r>
        <w:t xml:space="preserve"> </w:t>
      </w:r>
      <w:r>
        <w:t xml:space="preserve">·</w:t>
      </w:r>
      <w:r>
        <w:t xml:space="preserve"> </w:t>
      </w:r>
      <w:hyperlink r:id="rId172">
        <w:r>
          <w:rPr>
            <w:rStyle w:val="Hyperlink"/>
          </w:rPr>
          <w:t xml:space="preserve">Consulted transcript / earlier witness</w:t>
        </w:r>
      </w:hyperlink>
      <w:r>
        <w:t xml:space="preserve">.</w:t>
      </w:r>
    </w:p>
    <w:bookmarkEnd w:id="416"/>
    <w:bookmarkStart w:id="417" w:name="rd-aq-w-thomas-aquinas-summa-theologiae"/>
    <w:p>
      <w:pPr>
        <w:pStyle w:val="Heading4"/>
      </w:pPr>
      <w:r>
        <w:t xml:space="preserve">RD-AQ-W · Thomas Aquinas,</w:t>
      </w:r>
      <w:r>
        <w:t xml:space="preserve"> </w:t>
      </w:r>
      <w:r>
        <w:rPr>
          <w:i/>
          <w:iCs/>
        </w:rPr>
        <w:t xml:space="preserve">Summa theologiae</w:t>
      </w:r>
    </w:p>
    <w:p>
      <w:pPr>
        <w:pStyle w:val="FirstParagraph"/>
      </w:pPr>
      <w:r>
        <w:rPr>
          <w:b/>
          <w:bCs/>
        </w:rPr>
        <w:t xml:space="preserve">Locus:</w:t>
      </w:r>
      <w:r>
        <w:t xml:space="preserve"> </w:t>
      </w:r>
      <w:r>
        <w:t xml:space="preserve">I, q. 19, aa. 2–3; a. 3, respondeo and ad 5.</w:t>
      </w:r>
      <w:r>
        <w:t xml:space="preserve"> </w:t>
      </w:r>
      <w:r>
        <w:rPr>
          <w:b/>
          <w:bCs/>
        </w:rPr>
        <w:t xml:space="preserve">Status:</w:t>
      </w:r>
      <w:r>
        <w:t xml:space="preserve"> </w:t>
      </w:r>
      <w:r>
        <w:t xml:space="preserve">Inherited directly consulted primary translation from Beyond Participation; no new critical collation for page III.</w:t>
      </w:r>
    </w:p>
    <w:p>
      <w:pPr>
        <w:pStyle w:val="BodyText"/>
      </w:pPr>
      <w:r>
        <w:rPr>
          <w:b/>
          <w:bCs/>
        </w:rPr>
        <w:t xml:space="preserve">Edition / witness:</w:t>
      </w:r>
      <w:r>
        <w:t xml:space="preserve"> </w:t>
      </w:r>
      <w:r>
        <w:t xml:space="preserve">English Dominican Fathers translation; Gutenberg #17611 witness.</w:t>
      </w:r>
    </w:p>
    <w:p>
      <w:pPr>
        <w:pStyle w:val="BodyText"/>
      </w:pPr>
      <w:r>
        <w:rPr>
          <w:b/>
          <w:bCs/>
        </w:rPr>
        <w:t xml:space="preserve">Use:</w:t>
      </w:r>
      <w:r>
        <w:t xml:space="preserve"> </w:t>
      </w:r>
      <w:r>
        <w:t xml:space="preserve">A rational-voluntary resource for contingent communication; distinguishes necessity by supposition from absolute necessity.</w:t>
      </w:r>
      <w:r>
        <w:t xml:space="preserve"> </w:t>
      </w:r>
      <w:r>
        <w:rPr>
          <w:b/>
          <w:bCs/>
        </w:rPr>
        <w:t xml:space="preserve">Limit:</w:t>
      </w:r>
      <w:r>
        <w:t xml:space="preserve"> </w:t>
      </w:r>
      <w:r>
        <w:t xml:space="preserve">The account of reasons, purposes, and agency still needs defense. Neither non-exhaustion alone nor this quotation settles whether God remains intrinsically the same across alternative creations.</w:t>
      </w:r>
    </w:p>
    <w:p>
      <w:pPr>
        <w:pStyle w:val="BodyText"/>
      </w:pPr>
      <w:hyperlink r:id="rId98">
        <w:r>
          <w:rPr>
            <w:rStyle w:val="Hyperlink"/>
          </w:rPr>
          <w:t xml:space="preserve">Reading / orientation address</w:t>
        </w:r>
      </w:hyperlink>
      <w:r>
        <w:t xml:space="preserve"> </w:t>
      </w:r>
      <w:r>
        <w:t xml:space="preserve">·</w:t>
      </w:r>
      <w:r>
        <w:t xml:space="preserve"> </w:t>
      </w:r>
      <w:hyperlink r:id="rId172">
        <w:r>
          <w:rPr>
            <w:rStyle w:val="Hyperlink"/>
          </w:rPr>
          <w:t xml:space="preserve">Consulted transcript / earlier witness</w:t>
        </w:r>
      </w:hyperlink>
      <w:r>
        <w:t xml:space="preserve">.</w:t>
      </w:r>
    </w:p>
    <w:bookmarkEnd w:id="417"/>
    <w:bookmarkStart w:id="418" w:name="rd-aq-r-thomas-aquinas-summa-theologiae"/>
    <w:p>
      <w:pPr>
        <w:pStyle w:val="Heading4"/>
      </w:pPr>
      <w:r>
        <w:t xml:space="preserve">RD-AQ-R · Thomas Aquinas,</w:t>
      </w:r>
      <w:r>
        <w:t xml:space="preserve"> </w:t>
      </w:r>
      <w:r>
        <w:rPr>
          <w:i/>
          <w:iCs/>
        </w:rPr>
        <w:t xml:space="preserve">Summa theologiae</w:t>
      </w:r>
    </w:p>
    <w:p>
      <w:pPr>
        <w:pStyle w:val="FirstParagraph"/>
      </w:pPr>
      <w:r>
        <w:rPr>
          <w:b/>
          <w:bCs/>
        </w:rPr>
        <w:t xml:space="preserve">Locus:</w:t>
      </w:r>
      <w:r>
        <w:t xml:space="preserve"> </w:t>
      </w:r>
      <w:r>
        <w:t xml:space="preserve">I, q. 45, a. 3; especially ad 1.</w:t>
      </w:r>
      <w:r>
        <w:t xml:space="preserve"> </w:t>
      </w:r>
      <w:r>
        <w:rPr>
          <w:b/>
          <w:bCs/>
        </w:rPr>
        <w:t xml:space="preserve">Status:</w:t>
      </w:r>
      <w:r>
        <w:t xml:space="preserve"> </w:t>
      </w:r>
      <w:r>
        <w:t xml:space="preserve">Inherited manuscript source register N11; translation check reported there, not repeated for page III.</w:t>
      </w:r>
    </w:p>
    <w:p>
      <w:pPr>
        <w:pStyle w:val="BodyText"/>
      </w:pPr>
      <w:r>
        <w:rPr>
          <w:b/>
          <w:bCs/>
        </w:rPr>
        <w:t xml:space="preserve">Edition / witness:</w:t>
      </w:r>
      <w:r>
        <w:t xml:space="preserve"> </w:t>
      </w:r>
      <w:r>
        <w:t xml:space="preserve">English Dominican Fathers translation, New Advent/CCEL as reported in the inherited manuscript register.</w:t>
      </w:r>
    </w:p>
    <w:p>
      <w:pPr>
        <w:pStyle w:val="BodyText"/>
      </w:pPr>
      <w:r>
        <w:rPr>
          <w:b/>
          <w:bCs/>
        </w:rPr>
        <w:t xml:space="preserve">Use:</w:t>
      </w:r>
      <w:r>
        <w:t xml:space="preserve"> </w:t>
      </w:r>
      <w:r>
        <w:t xml:space="preserve">A classical source for distinguishing divine action in relation to creatures from creatures’ real dependence on God.</w:t>
      </w:r>
      <w:r>
        <w:t xml:space="preserve"> </w:t>
      </w:r>
      <w:r>
        <w:rPr>
          <w:b/>
          <w:bCs/>
        </w:rPr>
        <w:t xml:space="preserve">Limit:</w:t>
      </w:r>
      <w:r>
        <w:t xml:space="preserve"> </w:t>
      </w:r>
      <w:r>
        <w:t xml:space="preserve">Creation understood as a relation does not by itself explain free intentional choice, control, or justified knowledge. This account does not establish the Trinity or the Incarnation.</w:t>
      </w:r>
    </w:p>
    <w:p>
      <w:pPr>
        <w:pStyle w:val="BodyText"/>
      </w:pPr>
      <w:hyperlink r:id="rId177">
        <w:r>
          <w:rPr>
            <w:rStyle w:val="Hyperlink"/>
          </w:rPr>
          <w:t xml:space="preserve">Reading / orientation address</w:t>
        </w:r>
      </w:hyperlink>
      <w:r>
        <w:t xml:space="preserve">.</w:t>
      </w:r>
    </w:p>
    <w:bookmarkEnd w:id="418"/>
    <w:bookmarkStart w:id="419" w:name="rd-au-fin-augustine-confessions"/>
    <w:p>
      <w:pPr>
        <w:pStyle w:val="Heading4"/>
      </w:pPr>
      <w:r>
        <w:t xml:space="preserve">RD-AU-FIN · Augustine,</w:t>
      </w:r>
      <w:r>
        <w:t xml:space="preserve"> </w:t>
      </w:r>
      <w:r>
        <w:rPr>
          <w:i/>
          <w:iCs/>
        </w:rPr>
        <w:t xml:space="preserve">Confessions</w:t>
      </w:r>
    </w:p>
    <w:p>
      <w:pPr>
        <w:pStyle w:val="FirstParagraph"/>
      </w:pPr>
      <w:r>
        <w:rPr>
          <w:b/>
          <w:bCs/>
        </w:rPr>
        <w:t xml:space="preserve">Locus:</w:t>
      </w:r>
      <w:r>
        <w:t xml:space="preserve"> </w:t>
      </w:r>
      <w:r>
        <w:t xml:space="preserve">IV.10.15.</w:t>
      </w:r>
      <w:r>
        <w:t xml:space="preserve"> </w:t>
      </w:r>
      <w:r>
        <w:rPr>
          <w:b/>
          <w:bCs/>
        </w:rPr>
        <w:t xml:space="preserve">Status:</w:t>
      </w:r>
      <w:r>
        <w:t xml:space="preserve"> </w:t>
      </w:r>
      <w:r>
        <w:t xml:space="preserve">Inherited manuscript primary quotation, register N5; not freshly consulted for page III.</w:t>
      </w:r>
    </w:p>
    <w:p>
      <w:pPr>
        <w:pStyle w:val="BodyText"/>
      </w:pPr>
      <w:r>
        <w:rPr>
          <w:b/>
          <w:bCs/>
        </w:rPr>
        <w:t xml:space="preserve">Edition / witness:</w:t>
      </w:r>
      <w:r>
        <w:t xml:space="preserve"> </w:t>
      </w:r>
      <w:r>
        <w:t xml:space="preserve">J. G. Pilkington translation, NPNF first series I (1887); inherited structural locus.</w:t>
      </w:r>
    </w:p>
    <w:p>
      <w:pPr>
        <w:pStyle w:val="BodyText"/>
      </w:pPr>
      <w:r>
        <w:rPr>
          <w:b/>
          <w:bCs/>
        </w:rPr>
        <w:t xml:space="preserve">Use:</w:t>
      </w:r>
      <w:r>
        <w:t xml:space="preserve"> </w:t>
      </w:r>
      <w:r>
        <w:t xml:space="preserve">A historical illustration of how temporal succession can contribute to an achieved whole.</w:t>
      </w:r>
      <w:r>
        <w:t xml:space="preserve"> </w:t>
      </w:r>
      <w:r>
        <w:rPr>
          <w:b/>
          <w:bCs/>
        </w:rPr>
        <w:t xml:space="preserve">Limit:</w:t>
      </w:r>
      <w:r>
        <w:t xml:space="preserve"> </w:t>
      </w:r>
      <w:r>
        <w:t xml:space="preserve">The claim that finite conditions partly constitute some goods is the project’s constructive extension. This passage does not show that every loss or suffering is beneficial.</w:t>
      </w:r>
    </w:p>
    <w:p>
      <w:pPr>
        <w:pStyle w:val="BodyText"/>
      </w:pPr>
      <w:hyperlink r:id="rId179">
        <w:r>
          <w:rPr>
            <w:rStyle w:val="Hyperlink"/>
          </w:rPr>
          <w:t xml:space="preserve">Reading / orientation address</w:t>
        </w:r>
      </w:hyperlink>
      <w:r>
        <w:t xml:space="preserve">.</w:t>
      </w:r>
    </w:p>
    <w:bookmarkEnd w:id="419"/>
    <w:bookmarkStart w:id="420" w:name="Xbb454fe9bfcbc4e371cf166af50022b8f65c9d0"/>
    <w:p>
      <w:pPr>
        <w:pStyle w:val="Heading4"/>
      </w:pPr>
      <w:r>
        <w:t xml:space="preserve">RD-AU-IDEAS · Augustine,</w:t>
      </w:r>
      <w:r>
        <w:t xml:space="preserve"> </w:t>
      </w:r>
      <w:r>
        <w:rPr>
          <w:i/>
          <w:iCs/>
        </w:rPr>
        <w:t xml:space="preserve">De diversis quaestionibus octoginta tribus (Eighty-three Different Questions)</w:t>
      </w:r>
    </w:p>
    <w:p>
      <w:pPr>
        <w:pStyle w:val="FirstParagraph"/>
      </w:pPr>
      <w:r>
        <w:rPr>
          <w:b/>
          <w:bCs/>
        </w:rPr>
        <w:t xml:space="preserve">Locus:</w:t>
      </w:r>
      <w:r>
        <w:t xml:space="preserve"> </w:t>
      </w:r>
      <w:r>
        <w:t xml:space="preserve">q. 46, especially §§1–2, De ideis.</w:t>
      </w:r>
      <w:r>
        <w:t xml:space="preserve"> </w:t>
      </w:r>
      <w:r>
        <w:rPr>
          <w:b/>
          <w:bCs/>
        </w:rPr>
        <w:t xml:space="preserve">Status:</w:t>
      </w:r>
      <w:r>
        <w:t xml:space="preserve"> </w:t>
      </w:r>
      <w:r>
        <w:t xml:space="preserve">Inherited primary bibliographic lead from Participation; q. 46 was not directly consulted in the website research and is not freshly verified here.</w:t>
      </w:r>
    </w:p>
    <w:p>
      <w:pPr>
        <w:pStyle w:val="BodyText"/>
      </w:pPr>
      <w:r>
        <w:rPr>
          <w:b/>
          <w:bCs/>
        </w:rPr>
        <w:t xml:space="preserve">Edition / witness:</w:t>
      </w:r>
      <w:r>
        <w:t xml:space="preserve"> </w:t>
      </w:r>
      <w:r>
        <w:t xml:space="preserve">No primary critical-edition collation performed in this research pass.</w:t>
      </w:r>
    </w:p>
    <w:p>
      <w:pPr>
        <w:pStyle w:val="BodyText"/>
      </w:pPr>
      <w:r>
        <w:rPr>
          <w:b/>
          <w:bCs/>
        </w:rPr>
        <w:t xml:space="preserve">Use:</w:t>
      </w:r>
      <w:r>
        <w:t xml:space="preserve"> </w:t>
      </w:r>
      <w:r>
        <w:t xml:space="preserve">Nothing independently established by this unconsulted primary lead; the broader exemplar account has other consulted witnesses.</w:t>
      </w:r>
      <w:r>
        <w:t xml:space="preserve"> </w:t>
      </w:r>
      <w:r>
        <w:rPr>
          <w:b/>
          <w:bCs/>
        </w:rPr>
        <w:t xml:space="preserve">Limit:</w:t>
      </w:r>
      <w:r>
        <w:t xml:space="preserve"> </w:t>
      </w:r>
      <w:r>
        <w:t xml:space="preserve">Do not treat the link as a primary witness or quote this question as newly verified. Exemplar intelligibility still differs from actual creative selection.</w:t>
      </w:r>
    </w:p>
    <w:p>
      <w:pPr>
        <w:pStyle w:val="BodyText"/>
      </w:pPr>
      <w:hyperlink r:id="rId181">
        <w:r>
          <w:rPr>
            <w:rStyle w:val="Hyperlink"/>
          </w:rPr>
          <w:t xml:space="preserve">Reading / orientation address</w:t>
        </w:r>
      </w:hyperlink>
      <w:r>
        <w:t xml:space="preserve">. Specialist orientation; exact primary locus supplied as an unconsulted lead.</w:t>
      </w:r>
    </w:p>
    <w:bookmarkEnd w:id="420"/>
    <w:bookmarkStart w:id="421" w:name="X7d7ec7541e9bd0f4b1e4d8c5cfd4866ce646179"/>
    <w:p>
      <w:pPr>
        <w:pStyle w:val="Heading4"/>
      </w:pPr>
      <w:r>
        <w:t xml:space="preserve">RD-NW · John Henry Newman,</w:t>
      </w:r>
      <w:r>
        <w:t xml:space="preserve"> </w:t>
      </w:r>
      <w:r>
        <w:rPr>
          <w:i/>
          <w:iCs/>
        </w:rPr>
        <w:t xml:space="preserve">An Essay on the Development of Christian Doctrine</w:t>
      </w:r>
    </w:p>
    <w:p>
      <w:pPr>
        <w:pStyle w:val="FirstParagraph"/>
      </w:pPr>
      <w:r>
        <w:rPr>
          <w:b/>
          <w:bCs/>
        </w:rPr>
        <w:t xml:space="preserve">Locus:</w:t>
      </w:r>
      <w:r>
        <w:t xml:space="preserve"> </w:t>
      </w:r>
      <w:r>
        <w:t xml:space="preserve">Part II, chapter V, §§I–VII; opening §4 on varying cogency, independence, and applicability.</w:t>
      </w:r>
      <w:r>
        <w:t xml:space="preserve"> </w:t>
      </w:r>
      <w:r>
        <w:rPr>
          <w:b/>
          <w:bCs/>
        </w:rPr>
        <w:t xml:space="preserve">Status:</w:t>
      </w:r>
      <w:r>
        <w:t xml:space="preserve"> </w:t>
      </w:r>
      <w:r>
        <w:t xml:space="preserve">Inherited directly consulted primary witness from Participation; no new edition collation for page III.</w:t>
      </w:r>
    </w:p>
    <w:p>
      <w:pPr>
        <w:pStyle w:val="BodyText"/>
      </w:pPr>
      <w:r>
        <w:rPr>
          <w:b/>
          <w:bCs/>
        </w:rPr>
        <w:t xml:space="preserve">Edition / witness:</w:t>
      </w:r>
      <w:r>
        <w:t xml:space="preserve"> </w:t>
      </w:r>
      <w:r>
        <w:t xml:space="preserve">Project Gutenberg #35110 / GITenberg transcription.</w:t>
      </w:r>
    </w:p>
    <w:p>
      <w:pPr>
        <w:pStyle w:val="BodyText"/>
      </w:pPr>
      <w:r>
        <w:rPr>
          <w:b/>
          <w:bCs/>
        </w:rPr>
        <w:t xml:space="preserve">Use:</w:t>
      </w:r>
      <w:r>
        <w:t xml:space="preserve"> </w:t>
      </w:r>
      <w:r>
        <w:t xml:space="preserve">An analogical discipline for constructive synthesis that conserves principles and prior achievements while clarifying tensions.</w:t>
      </w:r>
      <w:r>
        <w:t xml:space="preserve"> </w:t>
      </w:r>
      <w:r>
        <w:rPr>
          <w:b/>
          <w:bCs/>
        </w:rPr>
        <w:t xml:space="preserve">Limit:</w:t>
      </w:r>
      <w:r>
        <w:t xml:space="preserve"> </w:t>
      </w:r>
      <w:r>
        <w:t xml:space="preserve">Not an ecclesial certification, proof of new metaphysical premises, or license to harmonize contradiction. A new page cannot already demonstrate chronic historical vigour.</w:t>
      </w:r>
    </w:p>
    <w:p>
      <w:pPr>
        <w:pStyle w:val="BodyText"/>
      </w:pPr>
      <w:hyperlink r:id="rId183">
        <w:r>
          <w:rPr>
            <w:rStyle w:val="Hyperlink"/>
          </w:rPr>
          <w:t xml:space="preserve">Reading / orientation address</w:t>
        </w:r>
      </w:hyperlink>
      <w:r>
        <w:t xml:space="preserve"> </w:t>
      </w:r>
      <w:r>
        <w:t xml:space="preserve">·</w:t>
      </w:r>
      <w:r>
        <w:t xml:space="preserve"> </w:t>
      </w:r>
      <w:hyperlink r:id="rId184">
        <w:r>
          <w:rPr>
            <w:rStyle w:val="Hyperlink"/>
          </w:rPr>
          <w:t xml:space="preserve">Consulted transcript / earlier witness</w:t>
        </w:r>
      </w:hyperlink>
      <w:r>
        <w:t xml:space="preserve">.</w:t>
      </w:r>
    </w:p>
    <w:bookmarkEnd w:id="421"/>
    <w:bookmarkEnd w:id="422"/>
    <w:bookmarkStart w:id="423" w:name="scope-of-historical-continuity"/>
    <w:p>
      <w:pPr>
        <w:pStyle w:val="Heading3"/>
      </w:pPr>
      <w:r>
        <w:t xml:space="preserve">Scope of historical continuity</w:t>
      </w:r>
    </w:p>
    <w:p>
      <w:pPr>
        <w:pStyle w:val="FirstParagraph"/>
      </w:pPr>
      <w:r>
        <w:t xml:space="preserve">Dionysius supplies recipient-conditioned expression and causal knowledge; Maximus distinguishes intelligible logoi from created realization; Nyssa protects created/uncreated difference and voluntary creaturely action. Bonaventure gives positive fullness and finite proportion. Eriugena contributes a genuine theophanic pressure that cannot be resolved by suppressing his stronger unity language. Nazianzen and Ratzinger give theological controls concerning relation, personal identity, and nonabsorptive communion. Aquinas supplies important action and dependence resources; Augustine and Newman help discriminate finite achievement and legitimate development.</w:t>
      </w:r>
    </w:p>
    <w:p>
      <w:pPr>
        <w:pStyle w:val="BodyText"/>
      </w:pPr>
      <w:r>
        <w:t xml:space="preserve">These contributions remain different. Eternal personal origin is not a creature’s dependence on what constitutes it, free creative action, or an ordinary change of a relative description. Revealed Trinity and Incarnation require their own warrants. Historical continuity supports intelligibility and constructive retrieval; it does not prove intrinsic invariance, free choice, or adequate knowledge without learning from effects. Those remain the page’s independently stated philosophical questions.</w:t>
      </w:r>
    </w:p>
    <w:bookmarkEnd w:id="423"/>
    <w:bookmarkEnd w:id="424"/>
    <w:p>
      <w:pPr>
        <w:pStyle w:val="Heading1"/>
      </w:pPr>
      <w:r>
        <w:t xml:space="preserve">Appendix D — real-difference-ledger.json</w:t>
      </w:r>
    </w:p>
    <w:p>
      <w:pPr>
        <w:pStyle w:val="FirstParagraph"/>
      </w:pPr>
      <w:r>
        <w:t xml:space="preserve">Original research file: https:/​/​participation-​6o4.​pages.​dev/​research/​real-​difference-​ledger.​json</w:t>
      </w:r>
    </w:p>
    <w:p>
      <w:pPr>
        <w:pStyle w:val="Heading2"/>
      </w:pPr>
      <w:r>
        <w:t xml:space="preserve">Complete machine-readable source ledger</w:t>
      </w:r>
    </w:p>
    <w:p>
      <w:pPr>
        <w:pStyle w:val="FirstParagraph"/>
      </w:pPr>
      <w:r>
        <w:t xml:space="preserve">Every field of the downloadable JSON ledger is retained below as readable text. Field names are unchanged; no source record is omitted.</w:t>
      </w:r>
    </w:p>
    <w:p>
      <w:pPr>
        <w:pStyle w:val="Heading3"/>
      </w:pPr>
      <w:r>
        <w:t xml:space="preserve">GN-R — Gregory Nazianzen</w:t>
      </w:r>
    </w:p>
    <w:p>
      <w:pPr>
        <w:pStyle w:val="FirstParagraph"/>
      </w:pPr>
      <w:r>
        <w:rPr>
          <w:b/>
          <w:bCs/>
        </w:rPr>
        <w:t xml:space="preserve">id:</w:t>
      </w:r>
      <w:r>
        <w:t xml:space="preserve"> </w:t>
      </w:r>
      <w:r>
        <w:t xml:space="preserve">GN-R</w:t>
      </w:r>
    </w:p>
    <w:p>
      <w:pPr>
        <w:pStyle w:val="BodyText"/>
      </w:pPr>
      <w:r>
        <w:rPr>
          <w:b/>
          <w:bCs/>
        </w:rPr>
        <w:t xml:space="preserve">author:</w:t>
      </w:r>
      <w:r>
        <w:t xml:space="preserve"> </w:t>
      </w:r>
      <w:r>
        <w:t xml:space="preserve">Gregory Nazianzen</w:t>
      </w:r>
    </w:p>
    <w:p>
      <w:pPr>
        <w:pStyle w:val="BodyText"/>
      </w:pPr>
      <w:r>
        <w:rPr>
          <w:b/>
          <w:bCs/>
        </w:rPr>
        <w:t xml:space="preserve">title:</w:t>
      </w:r>
      <w:r>
        <w:t xml:space="preserve"> </w:t>
      </w:r>
      <w:r>
        <w:t xml:space="preserve">Oration 29 (Third Theological Oration)</w:t>
      </w:r>
    </w:p>
    <w:p>
      <w:pPr>
        <w:pStyle w:val="BodyText"/>
      </w:pPr>
      <w:r>
        <w:rPr>
          <w:b/>
          <w:bCs/>
        </w:rPr>
        <w:t xml:space="preserve">locus:</w:t>
      </w:r>
      <w:r>
        <w:t xml:space="preserve"> </w:t>
      </w:r>
      <w:r>
        <w:t xml:space="preserve">§16; NPNF second series VII, pp. 306–307</w:t>
      </w:r>
    </w:p>
    <w:p>
      <w:pPr>
        <w:pStyle w:val="BodyText"/>
      </w:pPr>
      <w:r>
        <w:rPr>
          <w:b/>
          <w:bCs/>
        </w:rPr>
        <w:t xml:space="preserve">url:</w:t>
      </w:r>
      <w:r>
        <w:t xml:space="preserve"> </w:t>
      </w:r>
      <w:r>
        <w:t xml:space="preserve">https:/​/​ccel.​org/​ccel/​schaff/​npnf207/​npnf207.​iii.​xv.​html</w:t>
      </w:r>
    </w:p>
    <w:p>
      <w:pPr>
        <w:pStyle w:val="BodyText"/>
      </w:pPr>
      <w:r>
        <w:rPr>
          <w:b/>
          <w:bCs/>
        </w:rPr>
        <w:t xml:space="preserve">status:</w:t>
      </w:r>
      <w:r>
        <w:t xml:space="preserve"> </w:t>
      </w:r>
      <w:r>
        <w:t xml:space="preserve">Primary translation directly consulted this page</w:t>
      </w:r>
    </w:p>
    <w:p>
      <w:pPr>
        <w:pStyle w:val="BodyText"/>
      </w:pPr>
      <w:r>
        <w:rPr>
          <w:b/>
          <w:bCs/>
        </w:rPr>
        <w:t xml:space="preserve">edition:</w:t>
      </w:r>
      <w:r>
        <w:t xml:space="preserve"> </w:t>
      </w:r>
      <w:r>
        <w:t xml:space="preserve">Charles Gordon Browne and James Edward Swallow, NPNF second series VII; CCEL transcription; no fresh Greek critical collation</w:t>
      </w:r>
    </w:p>
    <w:p>
      <w:pPr>
        <w:pStyle w:val="BodyText"/>
      </w:pPr>
      <w:r>
        <w:rPr>
          <w:b/>
          <w:bCs/>
        </w:rPr>
        <w:t xml:space="preserve">claim:</w:t>
      </w:r>
      <w:r>
        <w:t xml:space="preserve"> </w:t>
      </w:r>
      <w:r>
        <w:t xml:space="preserve">Father names relation rather than essence or action</w:t>
      </w:r>
    </w:p>
    <w:p>
      <w:pPr>
        <w:pStyle w:val="BodyText"/>
      </w:pPr>
      <w:r>
        <w:rPr>
          <w:b/>
          <w:bCs/>
        </w:rPr>
        <w:t xml:space="preserve">establishes:</w:t>
      </w:r>
      <w:r>
        <w:t xml:space="preserve"> </w:t>
      </w:r>
      <w:r>
        <w:t xml:space="preserve">A category distinction: genuine personal difference need not imply different divine nature or created product</w:t>
      </w:r>
    </w:p>
    <w:p>
      <w:pPr>
        <w:pStyle w:val="BodyText"/>
      </w:pPr>
      <w:r>
        <w:rPr>
          <w:b/>
          <w:bCs/>
        </w:rPr>
        <w:t xml:space="preserve">limit:</w:t>
      </w:r>
      <w:r>
        <w:t xml:space="preserve"> </w:t>
      </w:r>
      <w:r>
        <w:t xml:space="preserve">Eternal personal origin does not establish a relational account of free divine action. The Son is begotten, not created; personal origin must not be equated with created dependence.</w:t>
      </w:r>
    </w:p>
    <w:p>
      <w:pPr>
        <w:pStyle w:val="BodyText"/>
      </w:pPr>
      <w:r>
        <w:rPr>
          <w:b/>
          <w:bCs/>
        </w:rPr>
        <w:t xml:space="preserve">quote:</w:t>
      </w:r>
      <w:r>
        <w:t xml:space="preserve"> </w:t>
      </w:r>
      <w:r>
        <w:t xml:space="preserve">it is the name of the Relation in which the Father stands to the Son, and the Son to the Father.</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GN-A — Gregory Nazianzen</w:t>
      </w:r>
    </w:p>
    <w:p>
      <w:pPr>
        <w:pStyle w:val="FirstParagraph"/>
      </w:pPr>
      <w:r>
        <w:rPr>
          <w:b/>
          <w:bCs/>
        </w:rPr>
        <w:t xml:space="preserve">id:</w:t>
      </w:r>
      <w:r>
        <w:t xml:space="preserve"> </w:t>
      </w:r>
      <w:r>
        <w:t xml:space="preserve">GN-A</w:t>
      </w:r>
    </w:p>
    <w:p>
      <w:pPr>
        <w:pStyle w:val="BodyText"/>
      </w:pPr>
      <w:r>
        <w:rPr>
          <w:b/>
          <w:bCs/>
        </w:rPr>
        <w:t xml:space="preserve">author:</w:t>
      </w:r>
      <w:r>
        <w:t xml:space="preserve"> </w:t>
      </w:r>
      <w:r>
        <w:t xml:space="preserve">Gregory Nazianzen</w:t>
      </w:r>
    </w:p>
    <w:p>
      <w:pPr>
        <w:pStyle w:val="BodyText"/>
      </w:pPr>
      <w:r>
        <w:rPr>
          <w:b/>
          <w:bCs/>
        </w:rPr>
        <w:t xml:space="preserve">title:</w:t>
      </w:r>
      <w:r>
        <w:t xml:space="preserve"> </w:t>
      </w:r>
      <w:r>
        <w:t xml:space="preserve">Oration 29</w:t>
      </w:r>
    </w:p>
    <w:p>
      <w:pPr>
        <w:pStyle w:val="BodyText"/>
      </w:pPr>
      <w:r>
        <w:rPr>
          <w:b/>
          <w:bCs/>
        </w:rPr>
        <w:t xml:space="preserve">locus:</w:t>
      </w:r>
      <w:r>
        <w:t xml:space="preserve"> </w:t>
      </w:r>
      <w:r>
        <w:t xml:space="preserve">§§6–8</w:t>
      </w:r>
    </w:p>
    <w:p>
      <w:pPr>
        <w:pStyle w:val="BodyText"/>
      </w:pPr>
      <w:r>
        <w:rPr>
          <w:b/>
          <w:bCs/>
        </w:rPr>
        <w:t xml:space="preserve">url:</w:t>
      </w:r>
      <w:r>
        <w:t xml:space="preserve"> </w:t>
      </w:r>
      <w:r>
        <w:t xml:space="preserve">https:/​/​ccel.​org/​ccel/​schaff/​npnf207/​npnf207.​iii.​xv.​html</w:t>
      </w:r>
    </w:p>
    <w:p>
      <w:pPr>
        <w:pStyle w:val="BodyText"/>
      </w:pPr>
      <w:r>
        <w:rPr>
          <w:b/>
          <w:bCs/>
        </w:rPr>
        <w:t xml:space="preserve">status:</w:t>
      </w:r>
      <w:r>
        <w:t xml:space="preserve"> </w:t>
      </w:r>
      <w:r>
        <w:t xml:space="preserve">Primary translation directly consulted this page</w:t>
      </w:r>
    </w:p>
    <w:p>
      <w:pPr>
        <w:pStyle w:val="BodyText"/>
      </w:pPr>
      <w:r>
        <w:rPr>
          <w:b/>
          <w:bCs/>
        </w:rPr>
        <w:t xml:space="preserve">edition:</w:t>
      </w:r>
      <w:r>
        <w:t xml:space="preserve"> </w:t>
      </w:r>
      <w:r>
        <w:t xml:space="preserve">Browne/Swallow, NPNF second series VII; CCEL</w:t>
      </w:r>
    </w:p>
    <w:p>
      <w:pPr>
        <w:pStyle w:val="BodyText"/>
      </w:pPr>
      <w:r>
        <w:rPr>
          <w:b/>
          <w:bCs/>
        </w:rPr>
        <w:t xml:space="preserve">claim:</w:t>
      </w:r>
      <w:r>
        <w:t xml:space="preserve"> </w:t>
      </w:r>
      <w:r>
        <w:t xml:space="preserve">Willing is not an intermediary object replacing the agent; corporeal divisions must not be projected into divine generation</w:t>
      </w:r>
    </w:p>
    <w:p>
      <w:pPr>
        <w:pStyle w:val="BodyText"/>
      </w:pPr>
      <w:r>
        <w:rPr>
          <w:b/>
          <w:bCs/>
        </w:rPr>
        <w:t xml:space="preserve">establishes:</w:t>
      </w:r>
      <w:r>
        <w:t xml:space="preserve"> </w:t>
      </w:r>
      <w:r>
        <w:t xml:space="preserve">A warning against treating willing as an object between God and the act, or confusing generation with creation</w:t>
      </w:r>
    </w:p>
    <w:p>
      <w:pPr>
        <w:pStyle w:val="BodyText"/>
      </w:pPr>
      <w:r>
        <w:rPr>
          <w:b/>
          <w:bCs/>
        </w:rPr>
        <w:t xml:space="preserve">limit:</w:t>
      </w:r>
      <w:r>
        <w:t xml:space="preserve"> </w:t>
      </w:r>
      <w:r>
        <w:t xml:space="preserve">The argument against Eunomius concerns generation, rather than a complete modern account of free creation. Editorial notes are not Gregory’s words.</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DN-R — Pseudo-Dionysius</w:t>
      </w:r>
    </w:p>
    <w:p>
      <w:pPr>
        <w:pStyle w:val="FirstParagraph"/>
      </w:pPr>
      <w:r>
        <w:rPr>
          <w:b/>
          <w:bCs/>
        </w:rPr>
        <w:t xml:space="preserve">id:</w:t>
      </w:r>
      <w:r>
        <w:t xml:space="preserve"> </w:t>
      </w:r>
      <w:r>
        <w:t xml:space="preserve">DN-R</w:t>
      </w:r>
    </w:p>
    <w:p>
      <w:pPr>
        <w:pStyle w:val="BodyText"/>
      </w:pPr>
      <w:r>
        <w:rPr>
          <w:b/>
          <w:bCs/>
        </w:rPr>
        <w:t xml:space="preserve">author:</w:t>
      </w:r>
      <w:r>
        <w:t xml:space="preserve"> </w:t>
      </w:r>
      <w:r>
        <w:t xml:space="preserve">Pseudo-Dionysius</w:t>
      </w:r>
    </w:p>
    <w:p>
      <w:pPr>
        <w:pStyle w:val="BodyText"/>
      </w:pPr>
      <w:r>
        <w:rPr>
          <w:b/>
          <w:bCs/>
        </w:rPr>
        <w:t xml:space="preserve">title:</w:t>
      </w:r>
      <w:r>
        <w:t xml:space="preserve"> </w:t>
      </w:r>
      <w:r>
        <w:t xml:space="preserve">Divine Names</w:t>
      </w:r>
    </w:p>
    <w:p>
      <w:pPr>
        <w:pStyle w:val="BodyText"/>
      </w:pPr>
      <w:r>
        <w:rPr>
          <w:b/>
          <w:bCs/>
        </w:rPr>
        <w:t xml:space="preserve">locus:</w:t>
      </w:r>
      <w:r>
        <w:t xml:space="preserve"> </w:t>
      </w:r>
      <w:r>
        <w:t xml:space="preserve">II.5; Rolt pp. 71–73</w:t>
      </w:r>
    </w:p>
    <w:p>
      <w:pPr>
        <w:pStyle w:val="BodyText"/>
      </w:pPr>
      <w:r>
        <w:rPr>
          <w:b/>
          <w:bCs/>
        </w:rPr>
        <w:t xml:space="preserve">url:</w:t>
      </w:r>
      <w:r>
        <w:t xml:space="preserve"> </w:t>
      </w:r>
      <w:r>
        <w:t xml:space="preserve">https:/​/​ccel.​org/​ccel/​rolt/​dionysius/​dionysius.​iv.​iii.​html</w:t>
      </w:r>
    </w:p>
    <w:p>
      <w:pPr>
        <w:pStyle w:val="BodyText"/>
      </w:pPr>
      <w:r>
        <w:rPr>
          <w:b/>
          <w:bCs/>
        </w:rPr>
        <w:t xml:space="preserve">status:</w:t>
      </w:r>
      <w:r>
        <w:t xml:space="preserve"> </w:t>
      </w:r>
      <w:r>
        <w:t xml:space="preserve">Primary translation directly consulted this page</w:t>
      </w:r>
    </w:p>
    <w:p>
      <w:pPr>
        <w:pStyle w:val="BodyText"/>
      </w:pPr>
      <w:r>
        <w:rPr>
          <w:b/>
          <w:bCs/>
        </w:rPr>
        <w:t xml:space="preserve">edition:</w:t>
      </w:r>
      <w:r>
        <w:t xml:space="preserve"> </w:t>
      </w:r>
      <w:r>
        <w:t xml:space="preserve">C. E. Rolt (1920), CCEL; older reliable historical translation, not newly collated against Luibheid/Rorem</w:t>
      </w:r>
    </w:p>
    <w:p>
      <w:pPr>
        <w:pStyle w:val="BodyText"/>
      </w:pPr>
      <w:r>
        <w:rPr>
          <w:b/>
          <w:bCs/>
        </w:rPr>
        <w:t xml:space="preserve">claim:</w:t>
      </w:r>
      <w:r>
        <w:t xml:space="preserve"> </w:t>
      </w:r>
      <w:r>
        <w:t xml:space="preserve">Receptor differences can explain different seal impressions without partitioning the archetype</w:t>
      </w:r>
    </w:p>
    <w:p>
      <w:pPr>
        <w:pStyle w:val="BodyText"/>
      </w:pPr>
      <w:r>
        <w:rPr>
          <w:b/>
          <w:bCs/>
        </w:rPr>
        <w:t xml:space="preserve">establishes:</w:t>
      </w:r>
      <w:r>
        <w:t xml:space="preserve"> </w:t>
      </w:r>
      <w:r>
        <w:t xml:space="preserve">Recipient variation does not entail corresponding partition or alteration of source</w:t>
      </w:r>
    </w:p>
    <w:p>
      <w:pPr>
        <w:pStyle w:val="BodyText"/>
      </w:pPr>
      <w:r>
        <w:rPr>
          <w:b/>
          <w:bCs/>
        </w:rPr>
        <w:t xml:space="preserve">limit:</w:t>
      </w:r>
      <w:r>
        <w:t xml:space="preserve"> </w:t>
      </w:r>
      <w:r>
        <w:t xml:space="preserve">A seal has intrinsic pattern; receptor analogy is not a simplicity proof or explanation of free choice; God exceeds the analogy</w:t>
      </w:r>
    </w:p>
    <w:p>
      <w:pPr>
        <w:pStyle w:val="BodyText"/>
      </w:pPr>
      <w:r>
        <w:rPr>
          <w:b/>
          <w:bCs/>
        </w:rPr>
        <w:t xml:space="preserve">quote:</w:t>
      </w:r>
      <w:r>
        <w:t xml:space="preserve"> </w:t>
      </w:r>
      <w:r>
        <w:t xml:space="preserve">the difference of the substances which share it makes the impressions of the one, entire, identical archetype to be different.</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DN-E — Pseudo-Dionysius</w:t>
      </w:r>
    </w:p>
    <w:p>
      <w:pPr>
        <w:pStyle w:val="FirstParagraph"/>
      </w:pPr>
      <w:r>
        <w:rPr>
          <w:b/>
          <w:bCs/>
        </w:rPr>
        <w:t xml:space="preserve">id:</w:t>
      </w:r>
      <w:r>
        <w:t xml:space="preserve"> </w:t>
      </w:r>
      <w:r>
        <w:t xml:space="preserve">DN-E</w:t>
      </w:r>
    </w:p>
    <w:p>
      <w:pPr>
        <w:pStyle w:val="BodyText"/>
      </w:pPr>
      <w:r>
        <w:rPr>
          <w:b/>
          <w:bCs/>
        </w:rPr>
        <w:t xml:space="preserve">author:</w:t>
      </w:r>
      <w:r>
        <w:t xml:space="preserve"> </w:t>
      </w:r>
      <w:r>
        <w:t xml:space="preserve">Pseudo-Dionysius</w:t>
      </w:r>
    </w:p>
    <w:p>
      <w:pPr>
        <w:pStyle w:val="BodyText"/>
      </w:pPr>
      <w:r>
        <w:rPr>
          <w:b/>
          <w:bCs/>
        </w:rPr>
        <w:t xml:space="preserve">title:</w:t>
      </w:r>
      <w:r>
        <w:t xml:space="preserve"> </w:t>
      </w:r>
      <w:r>
        <w:t xml:space="preserve">Divine Names</w:t>
      </w:r>
    </w:p>
    <w:p>
      <w:pPr>
        <w:pStyle w:val="BodyText"/>
      </w:pPr>
      <w:r>
        <w:rPr>
          <w:b/>
          <w:bCs/>
        </w:rPr>
        <w:t xml:space="preserve">locus:</w:t>
      </w:r>
      <w:r>
        <w:t xml:space="preserve"> </w:t>
      </w:r>
      <w:r>
        <w:t xml:space="preserve">V.8; Rolt pp. 139–141</w:t>
      </w:r>
    </w:p>
    <w:p>
      <w:pPr>
        <w:pStyle w:val="BodyText"/>
      </w:pPr>
      <w:r>
        <w:rPr>
          <w:b/>
          <w:bCs/>
        </w:rPr>
        <w:t xml:space="preserve">url:</w:t>
      </w:r>
      <w:r>
        <w:t xml:space="preserve"> </w:t>
      </w:r>
      <w:r>
        <w:t xml:space="preserve">https:/​/​ccel.​org/​ccel/​rolt/​dionysius/​dionysius.​iv.​vi.​html</w:t>
      </w:r>
    </w:p>
    <w:p>
      <w:pPr>
        <w:pStyle w:val="BodyText"/>
      </w:pPr>
      <w:r>
        <w:rPr>
          <w:b/>
          <w:bCs/>
        </w:rPr>
        <w:t xml:space="preserve">status:</w:t>
      </w:r>
      <w:r>
        <w:t xml:space="preserve"> </w:t>
      </w:r>
      <w:r>
        <w:t xml:space="preserve">Primary translation directly consulted this page</w:t>
      </w:r>
    </w:p>
    <w:p>
      <w:pPr>
        <w:pStyle w:val="BodyText"/>
      </w:pPr>
      <w:r>
        <w:rPr>
          <w:b/>
          <w:bCs/>
        </w:rPr>
        <w:t xml:space="preserve">edition:</w:t>
      </w:r>
      <w:r>
        <w:t xml:space="preserve"> </w:t>
      </w:r>
      <w:r>
        <w:t xml:space="preserve">C. E. Rolt (1920), CCEL; editorial commentary separated</w:t>
      </w:r>
    </w:p>
    <w:p>
      <w:pPr>
        <w:pStyle w:val="BodyText"/>
      </w:pPr>
      <w:r>
        <w:rPr>
          <w:b/>
          <w:bCs/>
        </w:rPr>
        <w:t xml:space="preserve">claim:</w:t>
      </w:r>
      <w:r>
        <w:t xml:space="preserve"> </w:t>
      </w:r>
      <w:r>
        <w:t xml:space="preserve">Exemplars preexist unifiedly and are divine beneficent volitions</w:t>
      </w:r>
    </w:p>
    <w:p>
      <w:pPr>
        <w:pStyle w:val="BodyText"/>
      </w:pPr>
      <w:r>
        <w:rPr>
          <w:b/>
          <w:bCs/>
        </w:rPr>
        <w:t xml:space="preserve">establishes:</w:t>
      </w:r>
      <w:r>
        <w:t xml:space="preserve"> </w:t>
      </w:r>
      <w:r>
        <w:t xml:space="preserve">Positive intelligible differentiation in relation to one source</w:t>
      </w:r>
    </w:p>
    <w:p>
      <w:pPr>
        <w:pStyle w:val="BodyText"/>
      </w:pPr>
      <w:r>
        <w:rPr>
          <w:b/>
          <w:bCs/>
        </w:rPr>
        <w:t xml:space="preserve">limit:</w:t>
      </w:r>
      <w:r>
        <w:t xml:space="preserve"> </w:t>
      </w:r>
      <w:r>
        <w:t xml:space="preserve">Plural exemplars or divine wills do not by themselves prove alternative created outcomes, or establish that divine intentions differ only relationally</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DN-K — Pseudo-Dionysius</w:t>
      </w:r>
    </w:p>
    <w:p>
      <w:pPr>
        <w:pStyle w:val="FirstParagraph"/>
      </w:pPr>
      <w:r>
        <w:rPr>
          <w:b/>
          <w:bCs/>
        </w:rPr>
        <w:t xml:space="preserve">id:</w:t>
      </w:r>
      <w:r>
        <w:t xml:space="preserve"> </w:t>
      </w:r>
      <w:r>
        <w:t xml:space="preserve">DN-K</w:t>
      </w:r>
    </w:p>
    <w:p>
      <w:pPr>
        <w:pStyle w:val="BodyText"/>
      </w:pPr>
      <w:r>
        <w:rPr>
          <w:b/>
          <w:bCs/>
        </w:rPr>
        <w:t xml:space="preserve">author:</w:t>
      </w:r>
      <w:r>
        <w:t xml:space="preserve"> </w:t>
      </w:r>
      <w:r>
        <w:t xml:space="preserve">Pseudo-Dionysius</w:t>
      </w:r>
    </w:p>
    <w:p>
      <w:pPr>
        <w:pStyle w:val="BodyText"/>
      </w:pPr>
      <w:r>
        <w:rPr>
          <w:b/>
          <w:bCs/>
        </w:rPr>
        <w:t xml:space="preserve">title:</w:t>
      </w:r>
      <w:r>
        <w:t xml:space="preserve"> </w:t>
      </w:r>
      <w:r>
        <w:t xml:space="preserve">Divine Names</w:t>
      </w:r>
    </w:p>
    <w:p>
      <w:pPr>
        <w:pStyle w:val="BodyText"/>
      </w:pPr>
      <w:r>
        <w:rPr>
          <w:b/>
          <w:bCs/>
        </w:rPr>
        <w:t xml:space="preserve">locus:</w:t>
      </w:r>
      <w:r>
        <w:t xml:space="preserve"> </w:t>
      </w:r>
      <w:r>
        <w:t xml:space="preserve">VII.2–3; Rolt pp. 149–153</w:t>
      </w:r>
    </w:p>
    <w:p>
      <w:pPr>
        <w:pStyle w:val="BodyText"/>
      </w:pPr>
      <w:r>
        <w:rPr>
          <w:b/>
          <w:bCs/>
        </w:rPr>
        <w:t xml:space="preserve">url:</w:t>
      </w:r>
      <w:r>
        <w:t xml:space="preserve"> </w:t>
      </w:r>
      <w:r>
        <w:t xml:space="preserve">https:/​/​ccel.​org/​ccel/​rolt/​dionysius/​dionysius.​iv.​viii.​html</w:t>
      </w:r>
    </w:p>
    <w:p>
      <w:pPr>
        <w:pStyle w:val="BodyText"/>
      </w:pPr>
      <w:r>
        <w:rPr>
          <w:b/>
          <w:bCs/>
        </w:rPr>
        <w:t xml:space="preserve">status:</w:t>
      </w:r>
      <w:r>
        <w:t xml:space="preserve"> </w:t>
      </w:r>
      <w:r>
        <w:t xml:space="preserve">Primary translation directly consulted this page</w:t>
      </w:r>
    </w:p>
    <w:p>
      <w:pPr>
        <w:pStyle w:val="BodyText"/>
      </w:pPr>
      <w:r>
        <w:rPr>
          <w:b/>
          <w:bCs/>
        </w:rPr>
        <w:t xml:space="preserve">edition:</w:t>
      </w:r>
      <w:r>
        <w:t xml:space="preserve"> </w:t>
      </w:r>
      <w:r>
        <w:t xml:space="preserve">C. E. Rolt (1920), CCEL; editorial commentary separated</w:t>
      </w:r>
    </w:p>
    <w:p>
      <w:pPr>
        <w:pStyle w:val="BodyText"/>
      </w:pPr>
      <w:r>
        <w:rPr>
          <w:b/>
          <w:bCs/>
        </w:rPr>
        <w:t xml:space="preserve">claim:</w:t>
      </w:r>
      <w:r>
        <w:t xml:space="preserve"> </w:t>
      </w:r>
      <w:r>
        <w:t xml:space="preserve">Divine causal self-knowledge does not derive from effects; creaturely knowledge follows created ordering without comprehensive grasp</w:t>
      </w:r>
    </w:p>
    <w:p>
      <w:pPr>
        <w:pStyle w:val="BodyText"/>
      </w:pPr>
      <w:r>
        <w:rPr>
          <w:b/>
          <w:bCs/>
        </w:rPr>
        <w:t xml:space="preserve">establishes:</w:t>
      </w:r>
      <w:r>
        <w:t xml:space="preserve"> </w:t>
      </w:r>
      <w:r>
        <w:t xml:space="preserve">Different effects, God’s knowledge, and a recipient’s acquired knowledge require distinct accounts</w:t>
      </w:r>
    </w:p>
    <w:p>
      <w:pPr>
        <w:pStyle w:val="BodyText"/>
      </w:pPr>
      <w:r>
        <w:rPr>
          <w:b/>
          <w:bCs/>
        </w:rPr>
        <w:t xml:space="preserve">limit:</w:t>
      </w:r>
      <w:r>
        <w:t xml:space="preserve"> </w:t>
      </w:r>
      <w:r>
        <w:t xml:space="preserve">Does not independently explain choice between possible creations, or knowledge of permitted creaturely decisions. Rolt’s editorial comments about being beyond personality are not adopted.</w:t>
      </w:r>
    </w:p>
    <w:p>
      <w:pPr>
        <w:pStyle w:val="BodyText"/>
      </w:pPr>
      <w:r>
        <w:rPr>
          <w:b/>
          <w:bCs/>
        </w:rPr>
        <w:t xml:space="preserve">quote:</w:t>
      </w:r>
      <w:r>
        <w:t xml:space="preserve"> </w:t>
      </w:r>
      <w:r>
        <w:t xml:space="preserve">the Mind of God gains not Its knowledge of things from those things</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DN-L — Pseudo-Dionysius</w:t>
      </w:r>
    </w:p>
    <w:p>
      <w:pPr>
        <w:pStyle w:val="FirstParagraph"/>
      </w:pPr>
      <w:r>
        <w:rPr>
          <w:b/>
          <w:bCs/>
        </w:rPr>
        <w:t xml:space="preserve">id:</w:t>
      </w:r>
      <w:r>
        <w:t xml:space="preserve"> </w:t>
      </w:r>
      <w:r>
        <w:t xml:space="preserve">DN-L</w:t>
      </w:r>
    </w:p>
    <w:p>
      <w:pPr>
        <w:pStyle w:val="BodyText"/>
      </w:pPr>
      <w:r>
        <w:rPr>
          <w:b/>
          <w:bCs/>
        </w:rPr>
        <w:t xml:space="preserve">author:</w:t>
      </w:r>
      <w:r>
        <w:t xml:space="preserve"> </w:t>
      </w:r>
      <w:r>
        <w:t xml:space="preserve">Pseudo-Dionysius</w:t>
      </w:r>
    </w:p>
    <w:p>
      <w:pPr>
        <w:pStyle w:val="BodyText"/>
      </w:pPr>
      <w:r>
        <w:rPr>
          <w:b/>
          <w:bCs/>
        </w:rPr>
        <w:t xml:space="preserve">title:</w:t>
      </w:r>
      <w:r>
        <w:t xml:space="preserve"> </w:t>
      </w:r>
      <w:r>
        <w:t xml:space="preserve">Divine Names</w:t>
      </w:r>
    </w:p>
    <w:p>
      <w:pPr>
        <w:pStyle w:val="BodyText"/>
      </w:pPr>
      <w:r>
        <w:rPr>
          <w:b/>
          <w:bCs/>
        </w:rPr>
        <w:t xml:space="preserve">locus:</w:t>
      </w:r>
      <w:r>
        <w:t xml:space="preserve"> </w:t>
      </w:r>
      <w:r>
        <w:t xml:space="preserve">IX.6–7; Rolt pp. 166–167</w:t>
      </w:r>
    </w:p>
    <w:p>
      <w:pPr>
        <w:pStyle w:val="BodyText"/>
      </w:pPr>
      <w:r>
        <w:rPr>
          <w:b/>
          <w:bCs/>
        </w:rPr>
        <w:t xml:space="preserve">url:</w:t>
      </w:r>
      <w:r>
        <w:t xml:space="preserve"> </w:t>
      </w:r>
      <w:r>
        <w:t xml:space="preserve">https:/​/​ccel.​org/​ccel/​rolt/​dionysius/​dionysius.​iv.​x.​html</w:t>
      </w:r>
    </w:p>
    <w:p>
      <w:pPr>
        <w:pStyle w:val="BodyText"/>
      </w:pPr>
      <w:r>
        <w:rPr>
          <w:b/>
          <w:bCs/>
        </w:rPr>
        <w:t xml:space="preserve">status:</w:t>
      </w:r>
      <w:r>
        <w:t xml:space="preserve"> </w:t>
      </w:r>
      <w:r>
        <w:t xml:space="preserve">Primary translation directly consulted this page</w:t>
      </w:r>
    </w:p>
    <w:p>
      <w:pPr>
        <w:pStyle w:val="BodyText"/>
      </w:pPr>
      <w:r>
        <w:rPr>
          <w:b/>
          <w:bCs/>
        </w:rPr>
        <w:t xml:space="preserve">edition:</w:t>
      </w:r>
      <w:r>
        <w:t xml:space="preserve"> </w:t>
      </w:r>
      <w:r>
        <w:t xml:space="preserve">C. E. Rolt (1920), CCEL</w:t>
      </w:r>
    </w:p>
    <w:p>
      <w:pPr>
        <w:pStyle w:val="BodyText"/>
      </w:pPr>
      <w:r>
        <w:rPr>
          <w:b/>
          <w:bCs/>
        </w:rPr>
        <w:t xml:space="preserve">claim:</w:t>
      </w:r>
      <w:r>
        <w:t xml:space="preserve"> </w:t>
      </w:r>
      <w:r>
        <w:t xml:space="preserve">Causal likeness is nonreciprocal; finite effects are like and unlike source in different respects</w:t>
      </w:r>
    </w:p>
    <w:p>
      <w:pPr>
        <w:pStyle w:val="BodyText"/>
      </w:pPr>
      <w:r>
        <w:rPr>
          <w:b/>
          <w:bCs/>
        </w:rPr>
        <w:t xml:space="preserve">establishes:</w:t>
      </w:r>
      <w:r>
        <w:t xml:space="preserve"> </w:t>
      </w:r>
      <w:r>
        <w:t xml:space="preserve">Meaningful likeness does not require a shared nature</w:t>
      </w:r>
    </w:p>
    <w:p>
      <w:pPr>
        <w:pStyle w:val="BodyText"/>
      </w:pPr>
      <w:r>
        <w:rPr>
          <w:b/>
          <w:bCs/>
        </w:rPr>
        <w:t xml:space="preserve">limit:</w:t>
      </w:r>
      <w:r>
        <w:t xml:space="preserve"> </w:t>
      </w:r>
      <w:r>
        <w:t xml:space="preserve">Does not prove that every effect resembles its cause in every respect</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NY-M — Gregory of Nyssa</w:t>
      </w:r>
    </w:p>
    <w:p>
      <w:pPr>
        <w:pStyle w:val="FirstParagraph"/>
      </w:pPr>
      <w:r>
        <w:rPr>
          <w:b/>
          <w:bCs/>
        </w:rPr>
        <w:t xml:space="preserve">id:</w:t>
      </w:r>
      <w:r>
        <w:t xml:space="preserve"> </w:t>
      </w:r>
      <w:r>
        <w:t xml:space="preserve">NY-M</w:t>
      </w:r>
    </w:p>
    <w:p>
      <w:pPr>
        <w:pStyle w:val="BodyText"/>
      </w:pPr>
      <w:r>
        <w:rPr>
          <w:b/>
          <w:bCs/>
        </w:rPr>
        <w:t xml:space="preserve">author:</w:t>
      </w:r>
      <w:r>
        <w:t xml:space="preserve"> </w:t>
      </w:r>
      <w:r>
        <w:t xml:space="preserve">Gregory of Nyssa</w:t>
      </w:r>
    </w:p>
    <w:p>
      <w:pPr>
        <w:pStyle w:val="BodyText"/>
      </w:pPr>
      <w:r>
        <w:rPr>
          <w:b/>
          <w:bCs/>
        </w:rPr>
        <w:t xml:space="preserve">title:</w:t>
      </w:r>
      <w:r>
        <w:t xml:space="preserve"> </w:t>
      </w:r>
      <w:r>
        <w:t xml:space="preserve">On the Making of Man</w:t>
      </w:r>
    </w:p>
    <w:p>
      <w:pPr>
        <w:pStyle w:val="BodyText"/>
      </w:pPr>
      <w:r>
        <w:rPr>
          <w:b/>
          <w:bCs/>
        </w:rPr>
        <w:t xml:space="preserve">locus:</w:t>
      </w:r>
      <w:r>
        <w:t xml:space="preserve"> </w:t>
      </w:r>
      <w:r>
        <w:t xml:space="preserve">XVI</w:t>
      </w:r>
    </w:p>
    <w:p>
      <w:pPr>
        <w:pStyle w:val="BodyText"/>
      </w:pPr>
      <w:r>
        <w:rPr>
          <w:b/>
          <w:bCs/>
        </w:rPr>
        <w:t xml:space="preserve">url:</w:t>
      </w:r>
      <w:r>
        <w:t xml:space="preserve"> </w:t>
      </w:r>
      <w:r>
        <w:t xml:space="preserve">https:/​/​raw.​githubusercontent.​com/​standardebooks/​gregory-​of-​nyssa_​on-​the-​making-​of-​man_​william-​moore_​henry-​austin-​wilson/​master/​src/​epub/​text/​chapter-​16.​xhtml</w:t>
      </w:r>
    </w:p>
    <w:p>
      <w:pPr>
        <w:pStyle w:val="BodyText"/>
      </w:pPr>
      <w:r>
        <w:rPr>
          <w:b/>
          <w:bCs/>
        </w:rPr>
        <w:t xml:space="preserve">status:</w:t>
      </w:r>
      <w:r>
        <w:t xml:space="preserve"> </w:t>
      </w:r>
      <w:r>
        <w:t xml:space="preserve">Primary translation reconsulted from original project</w:t>
      </w:r>
    </w:p>
    <w:p>
      <w:pPr>
        <w:pStyle w:val="BodyText"/>
      </w:pPr>
      <w:r>
        <w:rPr>
          <w:b/>
          <w:bCs/>
        </w:rPr>
        <w:t xml:space="preserve">edition:</w:t>
      </w:r>
      <w:r>
        <w:t xml:space="preserve"> </w:t>
      </w:r>
      <w:r>
        <w:t xml:space="preserve">William Moore and Henry Austin Wilson, NPNF second series V; Standard Ebooks transcription with scan-check provenance</w:t>
      </w:r>
    </w:p>
    <w:p>
      <w:pPr>
        <w:pStyle w:val="BodyText"/>
      </w:pPr>
      <w:r>
        <w:rPr>
          <w:b/>
          <w:bCs/>
        </w:rPr>
        <w:t xml:space="preserve">claim:</w:t>
      </w:r>
      <w:r>
        <w:t xml:space="preserve"> </w:t>
      </w:r>
      <w:r>
        <w:t xml:space="preserve">Likeness in attributes differs from created/uncreated mode; created goods are measured and virtue voluntary</w:t>
      </w:r>
    </w:p>
    <w:p>
      <w:pPr>
        <w:pStyle w:val="BodyText"/>
      </w:pPr>
      <w:r>
        <w:rPr>
          <w:b/>
          <w:bCs/>
        </w:rPr>
        <w:t xml:space="preserve">establishes:</w:t>
      </w:r>
      <w:r>
        <w:t xml:space="preserve"> </w:t>
      </w:r>
      <w:r>
        <w:t xml:space="preserve">Created limitations need not limit the source; receiving rational agency is compatible with voluntary action</w:t>
      </w:r>
    </w:p>
    <w:p>
      <w:pPr>
        <w:pStyle w:val="BodyText"/>
      </w:pPr>
      <w:r>
        <w:rPr>
          <w:b/>
          <w:bCs/>
        </w:rPr>
        <w:t xml:space="preserve">limit:</w:t>
      </w:r>
      <w:r>
        <w:t xml:space="preserve"> </w:t>
      </w:r>
      <w:r>
        <w:t xml:space="preserve">Speculative anthropology is not a universally established metaphysical principle. The Life of Moses passages on infinity were not newly read.</w:t>
      </w:r>
    </w:p>
    <w:p>
      <w:pPr>
        <w:pStyle w:val="BodyText"/>
      </w:pPr>
      <w:r>
        <w:rPr>
          <w:b/>
          <w:bCs/>
        </w:rPr>
        <w:t xml:space="preserve">quote:</w:t>
      </w:r>
      <w:r>
        <w:t xml:space="preserve"> </w:t>
      </w:r>
      <w:r>
        <w:t xml:space="preserve">virtue is a voluntary thing, subject to no dominion</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MX-D — Maximus the Confessor</w:t>
      </w:r>
    </w:p>
    <w:p>
      <w:pPr>
        <w:pStyle w:val="FirstParagraph"/>
      </w:pPr>
      <w:r>
        <w:rPr>
          <w:b/>
          <w:bCs/>
        </w:rPr>
        <w:t xml:space="preserve">id:</w:t>
      </w:r>
      <w:r>
        <w:t xml:space="preserve"> </w:t>
      </w:r>
      <w:r>
        <w:t xml:space="preserve">MX-D</w:t>
      </w:r>
    </w:p>
    <w:p>
      <w:pPr>
        <w:pStyle w:val="BodyText"/>
      </w:pPr>
      <w:r>
        <w:rPr>
          <w:b/>
          <w:bCs/>
        </w:rPr>
        <w:t xml:space="preserve">author:</w:t>
      </w:r>
      <w:r>
        <w:t xml:space="preserve"> </w:t>
      </w:r>
      <w:r>
        <w:t xml:space="preserve">Maximus the Confessor</w:t>
      </w:r>
    </w:p>
    <w:p>
      <w:pPr>
        <w:pStyle w:val="BodyText"/>
      </w:pPr>
      <w:r>
        <w:rPr>
          <w:b/>
          <w:bCs/>
        </w:rPr>
        <w:t xml:space="preserve">title:</w:t>
      </w:r>
      <w:r>
        <w:t xml:space="preserve"> </w:t>
      </w:r>
      <w:r>
        <w:t xml:space="preserve">Ambiguum 7</w:t>
      </w:r>
    </w:p>
    <w:p>
      <w:pPr>
        <w:pStyle w:val="BodyText"/>
      </w:pPr>
      <w:r>
        <w:rPr>
          <w:b/>
          <w:bCs/>
        </w:rPr>
        <w:t xml:space="preserve">locus:</w:t>
      </w:r>
      <w:r>
        <w:t xml:space="preserve"> </w:t>
      </w:r>
      <w:r>
        <w:t xml:space="preserve">PG 91, 1077–1081, transcription ΠΡ 2.11–2.16; knowledge passage ΠΡ 2.20 within columns 1085–1088</w:t>
      </w:r>
    </w:p>
    <w:p>
      <w:pPr>
        <w:pStyle w:val="BodyText"/>
      </w:pPr>
      <w:r>
        <w:rPr>
          <w:b/>
          <w:bCs/>
        </w:rPr>
        <w:t xml:space="preserve">url:</w:t>
      </w:r>
      <w:r>
        <w:t xml:space="preserve"> </w:t>
      </w:r>
      <w:r>
        <w:t xml:space="preserve">https:/​/​raw.​githubusercontent.​com/​robertvsiii/​maximus-​confessor/​5ef8d8b33bb7e16576f4b5445db7ee07541aff9f/​texts/​maximus/​maximus_​confessor.​ambigua_​iohannem.​tess</w:t>
      </w:r>
    </w:p>
    <w:p>
      <w:pPr>
        <w:pStyle w:val="BodyText"/>
      </w:pPr>
      <w:r>
        <w:rPr>
          <w:b/>
          <w:bCs/>
        </w:rPr>
        <w:t xml:space="preserve">status:</w:t>
      </w:r>
      <w:r>
        <w:t xml:space="preserve"> </w:t>
      </w:r>
      <w:r>
        <w:t xml:space="preserve">Provisional Greek primary witness reconsulted; modern reliable edition collation outstanding</w:t>
      </w:r>
    </w:p>
    <w:p>
      <w:pPr>
        <w:pStyle w:val="BodyText"/>
      </w:pPr>
      <w:r>
        <w:rPr>
          <w:b/>
          <w:bCs/>
        </w:rPr>
        <w:t xml:space="preserve">edition:</w:t>
      </w:r>
      <w:r>
        <w:t xml:space="preserve"> </w:t>
      </w:r>
      <w:r>
        <w:t xml:space="preserve">Undocumented Greek transcription; consult Nicholas Constas, Ambigua (2014) for critical control</w:t>
      </w:r>
    </w:p>
    <w:p>
      <w:pPr>
        <w:pStyle w:val="BodyText"/>
      </w:pPr>
      <w:r>
        <w:rPr>
          <w:b/>
          <w:bCs/>
        </w:rPr>
        <w:t xml:space="preserve">claim:</w:t>
      </w:r>
      <w:r>
        <w:t xml:space="preserve"> </w:t>
      </w:r>
      <w:r>
        <w:t xml:space="preserve">Logoi and divine knowledge are distinguished from creatures obtaining actuality at appropriate times; one Logos grounds differentiated logoi</w:t>
      </w:r>
    </w:p>
    <w:p>
      <w:pPr>
        <w:pStyle w:val="BodyText"/>
      </w:pPr>
      <w:r>
        <w:rPr>
          <w:b/>
          <w:bCs/>
        </w:rPr>
        <w:t xml:space="preserve">establishes:</w:t>
      </w:r>
      <w:r>
        <w:t xml:space="preserve"> </w:t>
      </w:r>
      <w:r>
        <w:t xml:space="preserve">Intelligibility and realized history are distinct; temporal realization need not imply acquired divine knowledge</w:t>
      </w:r>
    </w:p>
    <w:p>
      <w:pPr>
        <w:pStyle w:val="BodyText"/>
      </w:pPr>
      <w:r>
        <w:rPr>
          <w:b/>
          <w:bCs/>
        </w:rPr>
        <w:t xml:space="preserve">limit:</w:t>
      </w:r>
      <w:r>
        <w:t xml:space="preserve"> </w:t>
      </w:r>
      <w:r>
        <w:t xml:space="preserve">No English quotation is attributed to Constas. The text does not establish that divine intentions differ only relationally, prove alternative creations, or eliminate historical disagreements.</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provisional</w:t>
      </w:r>
    </w:p>
    <w:p>
      <w:pPr>
        <w:pStyle w:val="Heading3"/>
      </w:pPr>
      <w:r>
        <w:t xml:space="preserve">RD-BON-FIRST — Bonaventure</w:t>
      </w:r>
    </w:p>
    <w:p>
      <w:pPr>
        <w:pStyle w:val="FirstParagraph"/>
      </w:pPr>
      <w:r>
        <w:rPr>
          <w:b/>
          <w:bCs/>
        </w:rPr>
        <w:t xml:space="preserve">id:</w:t>
      </w:r>
      <w:r>
        <w:t xml:space="preserve"> </w:t>
      </w:r>
      <w:r>
        <w:t xml:space="preserve">RD-BON-FIRST</w:t>
      </w:r>
    </w:p>
    <w:p>
      <w:pPr>
        <w:pStyle w:val="BodyText"/>
      </w:pPr>
      <w:r>
        <w:rPr>
          <w:b/>
          <w:bCs/>
        </w:rPr>
        <w:t xml:space="preserve">author:</w:t>
      </w:r>
      <w:r>
        <w:t xml:space="preserve"> </w:t>
      </w:r>
      <w:r>
        <w:t xml:space="preserve">Bonaventure</w:t>
      </w:r>
    </w:p>
    <w:p>
      <w:pPr>
        <w:pStyle w:val="BodyText"/>
      </w:pPr>
      <w:r>
        <w:rPr>
          <w:b/>
          <w:bCs/>
        </w:rPr>
        <w:t xml:space="preserve">title:</w:t>
      </w:r>
      <w:r>
        <w:t xml:space="preserve"> </w:t>
      </w:r>
      <w:r>
        <w:t xml:space="preserve">Commentary on the First Book of Sentences</w:t>
      </w:r>
    </w:p>
    <w:p>
      <w:pPr>
        <w:pStyle w:val="BodyText"/>
      </w:pPr>
      <w:r>
        <w:rPr>
          <w:b/>
          <w:bCs/>
        </w:rPr>
        <w:t xml:space="preserve">locus:</w:t>
      </w:r>
      <w:r>
        <w:t xml:space="preserve"> </w:t>
      </w:r>
      <w:r>
        <w:t xml:space="preserve">I Sent., d. 8, p. II, a. un., q. 1, arguments 1–2 (inherited register B12)</w:t>
      </w:r>
    </w:p>
    <w:p>
      <w:pPr>
        <w:pStyle w:val="BodyText"/>
      </w:pPr>
      <w:r>
        <w:rPr>
          <w:b/>
          <w:bCs/>
        </w:rPr>
        <w:t xml:space="preserve">url:</w:t>
      </w:r>
      <w:r>
        <w:t xml:space="preserve"> </w:t>
      </w:r>
      <w:r>
        <w:t xml:space="preserve">https:/​/​plato.​stanford.​edu/​entries/​bonaventure/​</w:t>
      </w:r>
    </w:p>
    <w:p>
      <w:pPr>
        <w:pStyle w:val="BodyText"/>
      </w:pPr>
      <w:r>
        <w:rPr>
          <w:b/>
          <w:bCs/>
        </w:rPr>
        <w:t xml:space="preserve">status:</w:t>
      </w:r>
      <w:r>
        <w:t xml:space="preserve"> </w:t>
      </w:r>
      <w:r>
        <w:t xml:space="preserve">Inherited primary audit; not freshly critical-collated. URL is specialist orientation, not the Latin witness.</w:t>
      </w:r>
    </w:p>
    <w:p>
      <w:pPr>
        <w:pStyle w:val="BodyText"/>
      </w:pPr>
      <w:r>
        <w:rPr>
          <w:b/>
          <w:bCs/>
        </w:rPr>
        <w:t xml:space="preserve">edition:</w:t>
      </w:r>
      <w:r>
        <w:t xml:space="preserve"> </w:t>
      </w:r>
      <w:r>
        <w:t xml:space="preserve">Opera omnia, vol. I, Quaracchi, 1882; Latin transcription audit inherited from Being-First. English quotation is manuscript working translation.</w:t>
      </w:r>
    </w:p>
    <w:p>
      <w:pPr>
        <w:pStyle w:val="BodyText"/>
      </w:pPr>
      <w:r>
        <w:rPr>
          <w:b/>
          <w:bCs/>
        </w:rPr>
        <w:t xml:space="preserve">claim:</w:t>
      </w:r>
      <w:r>
        <w:t xml:space="preserve"> </w:t>
      </w:r>
      <w:r>
        <w:t xml:space="preserve">An absolutely first source does not receive the actuality of its perfection from something distinct.</w:t>
      </w:r>
    </w:p>
    <w:p>
      <w:pPr>
        <w:pStyle w:val="BodyText"/>
      </w:pPr>
      <w:r>
        <w:rPr>
          <w:b/>
          <w:bCs/>
        </w:rPr>
        <w:t xml:space="preserve">establishes:</w:t>
      </w:r>
      <w:r>
        <w:t xml:space="preserve"> </w:t>
      </w:r>
      <w:r>
        <w:t xml:space="preserve">Arguments from firstness and essential perfection help test dependence on constituents; different attributes need not be parts of perfection.</w:t>
      </w:r>
    </w:p>
    <w:p>
      <w:pPr>
        <w:pStyle w:val="BodyText"/>
      </w:pPr>
      <w:r>
        <w:rPr>
          <w:b/>
          <w:bCs/>
        </w:rPr>
        <w:t xml:space="preserve">limit:</w:t>
      </w:r>
      <w:r>
        <w:t xml:space="preserve"> </w:t>
      </w:r>
      <w:r>
        <w:t xml:space="preserve">Does not identify God with every known object or relation to a creature. The modern argument from dependence on constituents is a reconstruction.</w:t>
      </w:r>
    </w:p>
    <w:p>
      <w:pPr>
        <w:pStyle w:val="BodyText"/>
      </w:pPr>
      <w:r>
        <w:rPr>
          <w:b/>
          <w:bCs/>
        </w:rPr>
        <w:t xml:space="preserve">quote:</w:t>
      </w:r>
      <w:r>
        <w:t xml:space="preserve"> </w:t>
      </w:r>
      <w:r>
        <w:t xml:space="preserve">Whatever is whatever it has is most simple.</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RD-BON-FULL — Bonaventure</w:t>
      </w:r>
    </w:p>
    <w:p>
      <w:pPr>
        <w:pStyle w:val="FirstParagraph"/>
      </w:pPr>
      <w:r>
        <w:rPr>
          <w:b/>
          <w:bCs/>
        </w:rPr>
        <w:t xml:space="preserve">id:</w:t>
      </w:r>
      <w:r>
        <w:t xml:space="preserve"> </w:t>
      </w:r>
      <w:r>
        <w:t xml:space="preserve">RD-BON-FULL</w:t>
      </w:r>
    </w:p>
    <w:p>
      <w:pPr>
        <w:pStyle w:val="BodyText"/>
      </w:pPr>
      <w:r>
        <w:rPr>
          <w:b/>
          <w:bCs/>
        </w:rPr>
        <w:t xml:space="preserve">author:</w:t>
      </w:r>
      <w:r>
        <w:t xml:space="preserve"> </w:t>
      </w:r>
      <w:r>
        <w:t xml:space="preserve">Bonaventure</w:t>
      </w:r>
    </w:p>
    <w:p>
      <w:pPr>
        <w:pStyle w:val="BodyText"/>
      </w:pPr>
      <w:r>
        <w:rPr>
          <w:b/>
          <w:bCs/>
        </w:rPr>
        <w:t xml:space="preserve">title:</w:t>
      </w:r>
      <w:r>
        <w:t xml:space="preserve"> </w:t>
      </w:r>
      <w:r>
        <w:t xml:space="preserve">Commentary on the First Book of Sentences</w:t>
      </w:r>
    </w:p>
    <w:p>
      <w:pPr>
        <w:pStyle w:val="BodyText"/>
      </w:pPr>
      <w:r>
        <w:rPr>
          <w:b/>
          <w:bCs/>
        </w:rPr>
        <w:t xml:space="preserve">locus:</w:t>
      </w:r>
      <w:r>
        <w:t xml:space="preserve"> </w:t>
      </w:r>
      <w:r>
        <w:t xml:space="preserve">I Sent., d. 8, p. II, a. un., q. 1, ad 1 (inherited register B13)</w:t>
      </w:r>
    </w:p>
    <w:p>
      <w:pPr>
        <w:pStyle w:val="BodyText"/>
      </w:pPr>
      <w:r>
        <w:rPr>
          <w:b/>
          <w:bCs/>
        </w:rPr>
        <w:t xml:space="preserve">url:</w:t>
      </w:r>
      <w:r>
        <w:t xml:space="preserve"> </w:t>
      </w:r>
      <w:r>
        <w:t xml:space="preserve">https:/​/​plato.​stanford.​edu/​entries/​bonaventure/​</w:t>
      </w:r>
    </w:p>
    <w:p>
      <w:pPr>
        <w:pStyle w:val="BodyText"/>
      </w:pPr>
      <w:r>
        <w:rPr>
          <w:b/>
          <w:bCs/>
        </w:rPr>
        <w:t xml:space="preserve">status:</w:t>
      </w:r>
      <w:r>
        <w:t xml:space="preserve"> </w:t>
      </w:r>
      <w:r>
        <w:t xml:space="preserve">Inherited primary audit; URL is specialist orientation.</w:t>
      </w:r>
    </w:p>
    <w:p>
      <w:pPr>
        <w:pStyle w:val="BodyText"/>
      </w:pPr>
      <w:r>
        <w:rPr>
          <w:b/>
          <w:bCs/>
        </w:rPr>
        <w:t xml:space="preserve">edition:</w:t>
      </w:r>
      <w:r>
        <w:t xml:space="preserve"> </w:t>
      </w:r>
      <w:r>
        <w:t xml:space="preserve">Opera omnia, vol. I, Quaracchi, 1882; working English translation in supplied manuscript.</w:t>
      </w:r>
    </w:p>
    <w:p>
      <w:pPr>
        <w:pStyle w:val="BodyText"/>
      </w:pPr>
      <w:r>
        <w:rPr>
          <w:b/>
          <w:bCs/>
        </w:rPr>
        <w:t xml:space="preserve">claim:</w:t>
      </w:r>
      <w:r>
        <w:t xml:space="preserve"> </w:t>
      </w:r>
      <w:r>
        <w:t xml:space="preserve">Supreme noble simplicity signifies supreme actuality and communication.</w:t>
      </w:r>
    </w:p>
    <w:p>
      <w:pPr>
        <w:pStyle w:val="BodyText"/>
      </w:pPr>
      <w:r>
        <w:rPr>
          <w:b/>
          <w:bCs/>
        </w:rPr>
        <w:t xml:space="preserve">establishes:</w:t>
      </w:r>
      <w:r>
        <w:t xml:space="preserve"> </w:t>
      </w:r>
      <w:r>
        <w:t xml:space="preserve">Positive fullness rather than deficient featurelessness; the immediate communication argument is Trinitarian.</w:t>
      </w:r>
    </w:p>
    <w:p>
      <w:pPr>
        <w:pStyle w:val="BodyText"/>
      </w:pPr>
      <w:r>
        <w:rPr>
          <w:b/>
          <w:bCs/>
        </w:rPr>
        <w:t xml:space="preserve">limit:</w:t>
      </w:r>
      <w:r>
        <w:t xml:space="preserve"> </w:t>
      </w:r>
      <w:r>
        <w:t xml:space="preserve">Does not entail that this world or any created world necessarily exists. Nonreception alone does not establish fullness.</w:t>
      </w:r>
    </w:p>
    <w:p>
      <w:pPr>
        <w:pStyle w:val="BodyText"/>
      </w:pPr>
      <w:r>
        <w:rPr>
          <w:b/>
          <w:bCs/>
        </w:rPr>
        <w:t xml:space="preserve">quote:</w:t>
      </w:r>
      <w:r>
        <w:t xml:space="preserve"> </w:t>
      </w:r>
      <w:r>
        <w:t xml:space="preserve">Where supreme simplicity is understood, supreme actuality must be understood.</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RD-BON-ORIGIN — Bonaventure</w:t>
      </w:r>
    </w:p>
    <w:p>
      <w:pPr>
        <w:pStyle w:val="FirstParagraph"/>
      </w:pPr>
      <w:r>
        <w:rPr>
          <w:b/>
          <w:bCs/>
        </w:rPr>
        <w:t xml:space="preserve">id:</w:t>
      </w:r>
      <w:r>
        <w:t xml:space="preserve"> </w:t>
      </w:r>
      <w:r>
        <w:t xml:space="preserve">RD-BON-ORIGIN</w:t>
      </w:r>
    </w:p>
    <w:p>
      <w:pPr>
        <w:pStyle w:val="BodyText"/>
      </w:pPr>
      <w:r>
        <w:rPr>
          <w:b/>
          <w:bCs/>
        </w:rPr>
        <w:t xml:space="preserve">author:</w:t>
      </w:r>
      <w:r>
        <w:t xml:space="preserve"> </w:t>
      </w:r>
      <w:r>
        <w:t xml:space="preserve">Bonaventure</w:t>
      </w:r>
    </w:p>
    <w:p>
      <w:pPr>
        <w:pStyle w:val="BodyText"/>
      </w:pPr>
      <w:r>
        <w:rPr>
          <w:b/>
          <w:bCs/>
        </w:rPr>
        <w:t xml:space="preserve">title:</w:t>
      </w:r>
      <w:r>
        <w:t xml:space="preserve"> </w:t>
      </w:r>
      <w:r>
        <w:t xml:space="preserve">Commentary on the First Book of Sentences</w:t>
      </w:r>
    </w:p>
    <w:p>
      <w:pPr>
        <w:pStyle w:val="BodyText"/>
      </w:pPr>
      <w:r>
        <w:rPr>
          <w:b/>
          <w:bCs/>
        </w:rPr>
        <w:t xml:space="preserve">locus:</w:t>
      </w:r>
      <w:r>
        <w:t xml:space="preserve"> </w:t>
      </w:r>
      <w:r>
        <w:t xml:space="preserve">I Sent., d. 8, p. II, a. un., q. 1, ad 2 (inherited register B13)</w:t>
      </w:r>
    </w:p>
    <w:p>
      <w:pPr>
        <w:pStyle w:val="BodyText"/>
      </w:pPr>
      <w:r>
        <w:rPr>
          <w:b/>
          <w:bCs/>
        </w:rPr>
        <w:t xml:space="preserve">url:</w:t>
      </w:r>
      <w:r>
        <w:t xml:space="preserve"> </w:t>
      </w:r>
      <w:r>
        <w:t xml:space="preserve">https:/​/​plato.​stanford.​edu/​entries/​bonaventure/​</w:t>
      </w:r>
    </w:p>
    <w:p>
      <w:pPr>
        <w:pStyle w:val="BodyText"/>
      </w:pPr>
      <w:r>
        <w:rPr>
          <w:b/>
          <w:bCs/>
        </w:rPr>
        <w:t xml:space="preserve">status:</w:t>
      </w:r>
      <w:r>
        <w:t xml:space="preserve"> </w:t>
      </w:r>
      <w:r>
        <w:t xml:space="preserve">Inherited primary audit; paraphrase of manuscript source discussion, no new critical collation.</w:t>
      </w:r>
    </w:p>
    <w:p>
      <w:pPr>
        <w:pStyle w:val="BodyText"/>
      </w:pPr>
      <w:r>
        <w:rPr>
          <w:b/>
          <w:bCs/>
        </w:rPr>
        <w:t xml:space="preserve">edition:</w:t>
      </w:r>
      <w:r>
        <w:t xml:space="preserve"> </w:t>
      </w:r>
      <w:r>
        <w:t xml:space="preserve">Opera omnia, vol. I, Quaracchi, 1882; prior manuscript Latin-transcription audit.</w:t>
      </w:r>
    </w:p>
    <w:p>
      <w:pPr>
        <w:pStyle w:val="BodyText"/>
      </w:pPr>
      <w:r>
        <w:rPr>
          <w:b/>
          <w:bCs/>
        </w:rPr>
        <w:t xml:space="preserve">claim:</w:t>
      </w:r>
      <w:r>
        <w:t xml:space="preserve"> </w:t>
      </w:r>
      <w:r>
        <w:t xml:space="preserve">Distinction by origin differs from difference by addition.</w:t>
      </w:r>
    </w:p>
    <w:p>
      <w:pPr>
        <w:pStyle w:val="BodyText"/>
      </w:pPr>
      <w:r>
        <w:rPr>
          <w:b/>
          <w:bCs/>
        </w:rPr>
        <w:t xml:space="preserve">establishes:</w:t>
      </w:r>
      <w:r>
        <w:t xml:space="preserve"> </w:t>
      </w:r>
      <w:r>
        <w:t xml:space="preserve">Theologically affirmed personal origins need not be added parts that constitute divine perfection.</w:t>
      </w:r>
    </w:p>
    <w:p>
      <w:pPr>
        <w:pStyle w:val="BodyText"/>
      </w:pPr>
      <w:r>
        <w:rPr>
          <w:b/>
          <w:bCs/>
        </w:rPr>
        <w:t xml:space="preserve">limit:</w:t>
      </w:r>
      <w:r>
        <w:t xml:space="preserve"> </w:t>
      </w:r>
      <w:r>
        <w:t xml:space="preserve">Trinitarian personal origin, created dependence, and free creative action need distinct accounts. This argument neither proves the Trinity nor explains every condition of free divine action.</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RD-BON-MEASURE — Bonaventure</w:t>
      </w:r>
    </w:p>
    <w:p>
      <w:pPr>
        <w:pStyle w:val="FirstParagraph"/>
      </w:pPr>
      <w:r>
        <w:rPr>
          <w:b/>
          <w:bCs/>
        </w:rPr>
        <w:t xml:space="preserve">id:</w:t>
      </w:r>
      <w:r>
        <w:t xml:space="preserve"> </w:t>
      </w:r>
      <w:r>
        <w:t xml:space="preserve">RD-BON-MEASURE</w:t>
      </w:r>
    </w:p>
    <w:p>
      <w:pPr>
        <w:pStyle w:val="BodyText"/>
      </w:pPr>
      <w:r>
        <w:rPr>
          <w:b/>
          <w:bCs/>
        </w:rPr>
        <w:t xml:space="preserve">author:</w:t>
      </w:r>
      <w:r>
        <w:t xml:space="preserve"> </w:t>
      </w:r>
      <w:r>
        <w:t xml:space="preserve">Bonaventure</w:t>
      </w:r>
    </w:p>
    <w:p>
      <w:pPr>
        <w:pStyle w:val="BodyText"/>
      </w:pPr>
      <w:r>
        <w:rPr>
          <w:b/>
          <w:bCs/>
        </w:rPr>
        <w:t xml:space="preserve">title:</w:t>
      </w:r>
      <w:r>
        <w:t xml:space="preserve"> </w:t>
      </w:r>
      <w:r>
        <w:t xml:space="preserve">Itinerarium mentis in Deum</w:t>
      </w:r>
    </w:p>
    <w:p>
      <w:pPr>
        <w:pStyle w:val="BodyText"/>
      </w:pPr>
      <w:r>
        <w:rPr>
          <w:b/>
          <w:bCs/>
        </w:rPr>
        <w:t xml:space="preserve">locus:</w:t>
      </w:r>
      <w:r>
        <w:t xml:space="preserve"> </w:t>
      </w:r>
      <w:r>
        <w:t xml:space="preserve">II.10 (inherited register N6)</w:t>
      </w:r>
    </w:p>
    <w:p>
      <w:pPr>
        <w:pStyle w:val="BodyText"/>
      </w:pPr>
      <w:r>
        <w:rPr>
          <w:b/>
          <w:bCs/>
        </w:rPr>
        <w:t xml:space="preserve">url:</w:t>
      </w:r>
      <w:r>
        <w:t xml:space="preserve"> </w:t>
      </w:r>
      <w:r>
        <w:t xml:space="preserve">https:/​/​plato.​stanford.​edu/​entries/​bonaventure/​</w:t>
      </w:r>
    </w:p>
    <w:p>
      <w:pPr>
        <w:pStyle w:val="BodyText"/>
      </w:pPr>
      <w:r>
        <w:rPr>
          <w:b/>
          <w:bCs/>
        </w:rPr>
        <w:t xml:space="preserve">status:</w:t>
      </w:r>
      <w:r>
        <w:t xml:space="preserve"> </w:t>
      </w:r>
      <w:r>
        <w:t xml:space="preserve">Inherited primary quotation; Latin Library access failed on this pass, no new critical collation.</w:t>
      </w:r>
    </w:p>
    <w:p>
      <w:pPr>
        <w:pStyle w:val="BodyText"/>
      </w:pPr>
      <w:r>
        <w:rPr>
          <w:b/>
          <w:bCs/>
        </w:rPr>
        <w:t xml:space="preserve">edition:</w:t>
      </w:r>
      <w:r>
        <w:t xml:space="preserve"> </w:t>
      </w:r>
      <w:r>
        <w:t xml:space="preserve">Opera omnia, vol. V, Quaracchi, 1891; manuscript working English translation of Latin Library transcription.</w:t>
      </w:r>
    </w:p>
    <w:p>
      <w:pPr>
        <w:pStyle w:val="BodyText"/>
      </w:pPr>
      <w:r>
        <w:rPr>
          <w:b/>
          <w:bCs/>
        </w:rPr>
        <w:t xml:space="preserve">claim:</w:t>
      </w:r>
      <w:r>
        <w:t xml:space="preserve"> </w:t>
      </w:r>
      <w:r>
        <w:t xml:space="preserve">Proportion contributes positively to beauty and delight.</w:t>
      </w:r>
    </w:p>
    <w:p>
      <w:pPr>
        <w:pStyle w:val="BodyText"/>
      </w:pPr>
      <w:r>
        <w:rPr>
          <w:b/>
          <w:bCs/>
        </w:rPr>
        <w:t xml:space="preserve">establishes:</w:t>
      </w:r>
      <w:r>
        <w:t xml:space="preserve"> </w:t>
      </w:r>
      <w:r>
        <w:t xml:space="preserve">A historical resource for finite measure as a positive condition of an achieved good.</w:t>
      </w:r>
    </w:p>
    <w:p>
      <w:pPr>
        <w:pStyle w:val="BodyText"/>
      </w:pPr>
      <w:r>
        <w:rPr>
          <w:b/>
          <w:bCs/>
        </w:rPr>
        <w:t xml:space="preserve">limit:</w:t>
      </w:r>
      <w:r>
        <w:t xml:space="preserve"> </w:t>
      </w:r>
      <w:r>
        <w:t xml:space="preserve">Melody, learning, and finite-history tests are constructive extensions; does not show every finite limitation or loss is good.</w:t>
      </w:r>
    </w:p>
    <w:p>
      <w:pPr>
        <w:pStyle w:val="BodyText"/>
      </w:pPr>
      <w:r>
        <w:rPr>
          <w:b/>
          <w:bCs/>
        </w:rPr>
        <w:t xml:space="preserve">quote:</w:t>
      </w:r>
      <w:r>
        <w:t xml:space="preserve"> </w:t>
      </w:r>
      <w:r>
        <w:t xml:space="preserve">Beauty and delight are not without proportion.</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RD-BON-SEP — Tim Noone and R. E. Houser</w:t>
      </w:r>
    </w:p>
    <w:p>
      <w:pPr>
        <w:pStyle w:val="FirstParagraph"/>
      </w:pPr>
      <w:r>
        <w:rPr>
          <w:b/>
          <w:bCs/>
        </w:rPr>
        <w:t xml:space="preserve">id:</w:t>
      </w:r>
      <w:r>
        <w:t xml:space="preserve"> </w:t>
      </w:r>
      <w:r>
        <w:t xml:space="preserve">RD-BON-SEP</w:t>
      </w:r>
    </w:p>
    <w:p>
      <w:pPr>
        <w:pStyle w:val="BodyText"/>
      </w:pPr>
      <w:r>
        <w:rPr>
          <w:b/>
          <w:bCs/>
        </w:rPr>
        <w:t xml:space="preserve">author:</w:t>
      </w:r>
      <w:r>
        <w:t xml:space="preserve"> </w:t>
      </w:r>
      <w:r>
        <w:t xml:space="preserve">Tim Noone and R. E. Houser</w:t>
      </w:r>
    </w:p>
    <w:p>
      <w:pPr>
        <w:pStyle w:val="BodyText"/>
      </w:pPr>
      <w:r>
        <w:rPr>
          <w:b/>
          <w:bCs/>
        </w:rPr>
        <w:t xml:space="preserve">title:</w:t>
      </w:r>
      <w:r>
        <w:t xml:space="preserve"> </w:t>
      </w:r>
      <w:r>
        <w:t xml:space="preserve">Bonaventure, Stanford Encyclopedia of Philosophy</w:t>
      </w:r>
    </w:p>
    <w:p>
      <w:pPr>
        <w:pStyle w:val="BodyText"/>
      </w:pPr>
      <w:r>
        <w:rPr>
          <w:b/>
          <w:bCs/>
        </w:rPr>
        <w:t xml:space="preserve">locus:</w:t>
      </w:r>
      <w:r>
        <w:t xml:space="preserve"> </w:t>
      </w:r>
      <w:r>
        <w:t xml:space="preserve">§5 opening; §5.2 participation/aitiological argument; selected truth discussion</w:t>
      </w:r>
    </w:p>
    <w:p>
      <w:pPr>
        <w:pStyle w:val="BodyText"/>
      </w:pPr>
      <w:r>
        <w:rPr>
          <w:b/>
          <w:bCs/>
        </w:rPr>
        <w:t xml:space="preserve">url:</w:t>
      </w:r>
      <w:r>
        <w:t xml:space="preserve"> </w:t>
      </w:r>
      <w:r>
        <w:t xml:space="preserve">https:/​/​plato.​stanford.​edu/​entries/​bonaventure/​</w:t>
      </w:r>
    </w:p>
    <w:p>
      <w:pPr>
        <w:pStyle w:val="BodyText"/>
      </w:pPr>
      <w:r>
        <w:rPr>
          <w:b/>
          <w:bCs/>
        </w:rPr>
        <w:t xml:space="preserve">status:</w:t>
      </w:r>
      <w:r>
        <w:t xml:space="preserve"> </w:t>
      </w:r>
      <w:r>
        <w:t xml:space="preserve">Fresh publisher consultation of selected passages, 12 October 2026.</w:t>
      </w:r>
    </w:p>
    <w:p>
      <w:pPr>
        <w:pStyle w:val="BodyText"/>
      </w:pPr>
      <w:r>
        <w:rPr>
          <w:b/>
          <w:bCs/>
        </w:rPr>
        <w:t xml:space="preserve">edition:</w:t>
      </w:r>
      <w:r>
        <w:t xml:space="preserve"> </w:t>
      </w:r>
      <w:r>
        <w:t xml:space="preserve">Substantive revision 16 August 2023; current publisher text.</w:t>
      </w:r>
    </w:p>
    <w:p>
      <w:pPr>
        <w:pStyle w:val="BodyText"/>
      </w:pPr>
      <w:r>
        <w:rPr>
          <w:b/>
          <w:bCs/>
        </w:rPr>
        <w:t xml:space="preserve">claim:</w:t>
      </w:r>
      <w:r>
        <w:t xml:space="preserve"> </w:t>
      </w:r>
      <w:r>
        <w:t xml:space="preserve">Exemplar causality unifies finite intelligible expression with efficient and final causality.</w:t>
      </w:r>
    </w:p>
    <w:p>
      <w:pPr>
        <w:pStyle w:val="BodyText"/>
      </w:pPr>
      <w:r>
        <w:rPr>
          <w:b/>
          <w:bCs/>
        </w:rPr>
        <w:t xml:space="preserve">establishes:</w:t>
      </w:r>
      <w:r>
        <w:t xml:space="preserve"> </w:t>
      </w:r>
      <w:r>
        <w:t xml:space="preserve">Supplies Hexaëmeron 6.1 (Quaracchi V:360) and 1.13 (V:331), and a specialist account of participation and transcendental versus categorical attributes.</w:t>
      </w:r>
    </w:p>
    <w:p>
      <w:pPr>
        <w:pStyle w:val="BodyText"/>
      </w:pPr>
      <w:r>
        <w:rPr>
          <w:b/>
          <w:bCs/>
        </w:rPr>
        <w:t xml:space="preserve">limit:</w:t>
      </w:r>
      <w:r>
        <w:t xml:space="preserve"> </w:t>
      </w:r>
      <w:r>
        <w:t xml:space="preserve">Those Hexaëmeron primary loci were secondary-located, not freshly collated; the article interpretation does not establish the proposed account of divine agency.</w:t>
      </w:r>
    </w:p>
    <w:p>
      <w:pPr>
        <w:pStyle w:val="BodyText"/>
      </w:pPr>
      <w:r>
        <w:rPr>
          <w:b/>
          <w:bCs/>
        </w:rPr>
        <w:t xml:space="preserve">source_type:</w:t>
      </w:r>
      <w:r>
        <w:t xml:space="preserve"> </w:t>
      </w:r>
      <w:r>
        <w:t xml:space="preserve">secondary</w:t>
      </w:r>
    </w:p>
    <w:p>
      <w:pPr>
        <w:pStyle w:val="BodyText"/>
      </w:pPr>
      <w:r>
        <w:rPr>
          <w:b/>
          <w:bCs/>
        </w:rPr>
        <w:t xml:space="preserve">consultation_class:</w:t>
      </w:r>
      <w:r>
        <w:t xml:space="preserve"> </w:t>
      </w:r>
      <w:r>
        <w:t xml:space="preserve">secondary</w:t>
      </w:r>
    </w:p>
    <w:p>
      <w:pPr>
        <w:pStyle w:val="Heading3"/>
      </w:pPr>
      <w:r>
        <w:t xml:space="preserve">RD-ERI-APPEAR — John Scottus Eriugena</w:t>
      </w:r>
    </w:p>
    <w:p>
      <w:pPr>
        <w:pStyle w:val="FirstParagraph"/>
      </w:pPr>
      <w:r>
        <w:rPr>
          <w:b/>
          <w:bCs/>
        </w:rPr>
        <w:t xml:space="preserve">id:</w:t>
      </w:r>
      <w:r>
        <w:t xml:space="preserve"> </w:t>
      </w:r>
      <w:r>
        <w:t xml:space="preserve">RD-ERI-APPEAR</w:t>
      </w:r>
    </w:p>
    <w:p>
      <w:pPr>
        <w:pStyle w:val="BodyText"/>
      </w:pPr>
      <w:r>
        <w:rPr>
          <w:b/>
          <w:bCs/>
        </w:rPr>
        <w:t xml:space="preserve">author:</w:t>
      </w:r>
      <w:r>
        <w:t xml:space="preserve"> </w:t>
      </w:r>
      <w:r>
        <w:t xml:space="preserve">John Scottus Eriugena</w:t>
      </w:r>
    </w:p>
    <w:p>
      <w:pPr>
        <w:pStyle w:val="BodyText"/>
      </w:pPr>
      <w:r>
        <w:rPr>
          <w:b/>
          <w:bCs/>
        </w:rPr>
        <w:t xml:space="preserve">title:</w:t>
      </w:r>
      <w:r>
        <w:t xml:space="preserve"> </w:t>
      </w:r>
      <w:r>
        <w:t xml:space="preserve">Periphyseon (The Division of Nature)</w:t>
      </w:r>
    </w:p>
    <w:p>
      <w:pPr>
        <w:pStyle w:val="BodyText"/>
      </w:pPr>
      <w:r>
        <w:rPr>
          <w:b/>
          <w:bCs/>
        </w:rPr>
        <w:t xml:space="preserve">locus:</w:t>
      </w:r>
      <w:r>
        <w:t xml:space="preserve"> </w:t>
      </w:r>
      <w:r>
        <w:t xml:space="preserve">I.446D; printed p. 31; inherited manuscript register E11 (inherited register E11)</w:t>
      </w:r>
    </w:p>
    <w:p>
      <w:pPr>
        <w:pStyle w:val="BodyText"/>
      </w:pPr>
      <w:r>
        <w:rPr>
          <w:b/>
          <w:bCs/>
        </w:rPr>
        <w:t xml:space="preserve">url:</w:t>
      </w:r>
      <w:r>
        <w:t xml:space="preserve"> </w:t>
      </w:r>
      <w:r>
        <w:t xml:space="preserve">https:/​/​plato.​stanford.​edu/​entries/​scottus-​eriugena/​</w:t>
      </w:r>
    </w:p>
    <w:p>
      <w:pPr>
        <w:pStyle w:val="BodyText"/>
      </w:pPr>
      <w:r>
        <w:rPr>
          <w:b/>
          <w:bCs/>
        </w:rPr>
        <w:t xml:space="preserve">status:</w:t>
      </w:r>
      <w:r>
        <w:t xml:space="preserve"> </w:t>
      </w:r>
      <w:r>
        <w:t xml:space="preserve">Inherited supplied primary translation; no new critical Latin collation. URL is specialist orientation.</w:t>
      </w:r>
    </w:p>
    <w:p>
      <w:pPr>
        <w:pStyle w:val="BodyText"/>
      </w:pPr>
      <w:r>
        <w:rPr>
          <w:b/>
          <w:bCs/>
        </w:rPr>
        <w:t xml:space="preserve">edition:</w:t>
      </w:r>
      <w:r>
        <w:t xml:space="preserve"> </w:t>
      </w:r>
      <w:r>
        <w:t xml:space="preserve">Translated by I. P. Sheldon-Williams, revised by John J. O’Meara, Bellarmin/Dumbarton Oaks, 1987.</w:t>
      </w:r>
    </w:p>
    <w:p>
      <w:pPr>
        <w:pStyle w:val="BodyText"/>
      </w:pPr>
      <w:r>
        <w:rPr>
          <w:b/>
          <w:bCs/>
        </w:rPr>
        <w:t xml:space="preserve">claim:</w:t>
      </w:r>
      <w:r>
        <w:t xml:space="preserve"> </w:t>
      </w:r>
      <w:r>
        <w:t xml:space="preserve">Theophanic appearance can be created and distinct from the divine essence.</w:t>
      </w:r>
    </w:p>
    <w:p>
      <w:pPr>
        <w:pStyle w:val="BodyText"/>
      </w:pPr>
      <w:r>
        <w:rPr>
          <w:b/>
          <w:bCs/>
        </w:rPr>
        <w:t xml:space="preserve">establishes:</w:t>
      </w:r>
      <w:r>
        <w:t xml:space="preserve"> </w:t>
      </w:r>
      <w:r>
        <w:t xml:space="preserve">A distinction between the source and how it appears, relevant to the recipient’s conditions.</w:t>
      </w:r>
    </w:p>
    <w:p>
      <w:pPr>
        <w:pStyle w:val="BodyText"/>
      </w:pPr>
      <w:r>
        <w:rPr>
          <w:b/>
          <w:bCs/>
        </w:rPr>
        <w:t xml:space="preserve">limit:</w:t>
      </w:r>
      <w:r>
        <w:t xml:space="preserve"> </w:t>
      </w:r>
      <w:r>
        <w:t xml:space="preserve">Does not cancel the stronger God–creature unity passages or by itself explain divine self-knowledge.</w:t>
      </w:r>
    </w:p>
    <w:p>
      <w:pPr>
        <w:pStyle w:val="BodyText"/>
      </w:pPr>
      <w:r>
        <w:rPr>
          <w:b/>
          <w:bCs/>
        </w:rPr>
        <w:t xml:space="preserve">quote:</w:t>
      </w:r>
      <w:r>
        <w:t xml:space="preserve"> </w:t>
      </w:r>
      <w:r>
        <w:t xml:space="preserve">It is not His Essence that (the prophet) saw, but something created by Him.</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RD-ERI-EXPRESSION — John Scottus Eriugena</w:t>
      </w:r>
    </w:p>
    <w:p>
      <w:pPr>
        <w:pStyle w:val="FirstParagraph"/>
      </w:pPr>
      <w:r>
        <w:rPr>
          <w:b/>
          <w:bCs/>
        </w:rPr>
        <w:t xml:space="preserve">id:</w:t>
      </w:r>
      <w:r>
        <w:t xml:space="preserve"> </w:t>
      </w:r>
      <w:r>
        <w:t xml:space="preserve">RD-ERI-EXPRESSION</w:t>
      </w:r>
    </w:p>
    <w:p>
      <w:pPr>
        <w:pStyle w:val="BodyText"/>
      </w:pPr>
      <w:r>
        <w:rPr>
          <w:b/>
          <w:bCs/>
        </w:rPr>
        <w:t xml:space="preserve">author:</w:t>
      </w:r>
      <w:r>
        <w:t xml:space="preserve"> </w:t>
      </w:r>
      <w:r>
        <w:t xml:space="preserve">John Scottus Eriugena</w:t>
      </w:r>
    </w:p>
    <w:p>
      <w:pPr>
        <w:pStyle w:val="BodyText"/>
      </w:pPr>
      <w:r>
        <w:rPr>
          <w:b/>
          <w:bCs/>
        </w:rPr>
        <w:t xml:space="preserve">title:</w:t>
      </w:r>
      <w:r>
        <w:t xml:space="preserve"> </w:t>
      </w:r>
      <w:r>
        <w:t xml:space="preserve">Periphyseon (The Division of Nature)</w:t>
      </w:r>
    </w:p>
    <w:p>
      <w:pPr>
        <w:pStyle w:val="BodyText"/>
      </w:pPr>
      <w:r>
        <w:rPr>
          <w:b/>
          <w:bCs/>
        </w:rPr>
        <w:t xml:space="preserve">locus:</w:t>
      </w:r>
      <w:r>
        <w:t xml:space="preserve"> </w:t>
      </w:r>
      <w:r>
        <w:t xml:space="preserve">I.454B–C; printed p. 40; inherited manuscript register E4 (inherited register E4)</w:t>
      </w:r>
    </w:p>
    <w:p>
      <w:pPr>
        <w:pStyle w:val="BodyText"/>
      </w:pPr>
      <w:r>
        <w:rPr>
          <w:b/>
          <w:bCs/>
        </w:rPr>
        <w:t xml:space="preserve">url:</w:t>
      </w:r>
      <w:r>
        <w:t xml:space="preserve"> </w:t>
      </w:r>
      <w:r>
        <w:t xml:space="preserve">https:/​/​plato.​stanford.​edu/​entries/​scottus-​eriugena/​</w:t>
      </w:r>
    </w:p>
    <w:p>
      <w:pPr>
        <w:pStyle w:val="BodyText"/>
      </w:pPr>
      <w:r>
        <w:rPr>
          <w:b/>
          <w:bCs/>
        </w:rPr>
        <w:t xml:space="preserve">status:</w:t>
      </w:r>
      <w:r>
        <w:t xml:space="preserve"> </w:t>
      </w:r>
      <w:r>
        <w:t xml:space="preserve">Inherited supplied primary quotation, not freshly critical-collated.</w:t>
      </w:r>
    </w:p>
    <w:p>
      <w:pPr>
        <w:pStyle w:val="BodyText"/>
      </w:pPr>
      <w:r>
        <w:rPr>
          <w:b/>
          <w:bCs/>
        </w:rPr>
        <w:t xml:space="preserve">edition:</w:t>
      </w:r>
      <w:r>
        <w:t xml:space="preserve"> </w:t>
      </w:r>
      <w:r>
        <w:t xml:space="preserve">Sheldon-Williams/O’Meara translation, 1987.</w:t>
      </w:r>
    </w:p>
    <w:p>
      <w:pPr>
        <w:pStyle w:val="BodyText"/>
      </w:pPr>
      <w:r>
        <w:rPr>
          <w:b/>
          <w:bCs/>
        </w:rPr>
        <w:t xml:space="preserve">claim:</w:t>
      </w:r>
      <w:r>
        <w:t xml:space="preserve"> </w:t>
      </w:r>
      <w:r>
        <w:t xml:space="preserve">Divine manifestation is compared, at a stated distance, to mind taking shape in thoughts and signs.</w:t>
      </w:r>
    </w:p>
    <w:p>
      <w:pPr>
        <w:pStyle w:val="BodyText"/>
      </w:pPr>
      <w:r>
        <w:rPr>
          <w:b/>
          <w:bCs/>
        </w:rPr>
        <w:t xml:space="preserve">establishes:</w:t>
      </w:r>
      <w:r>
        <w:t xml:space="preserve"> </w:t>
      </w:r>
      <w:r>
        <w:t xml:space="preserve">Determinate expression is metaphysically important, not merely an observer’s optional inference.</w:t>
      </w:r>
    </w:p>
    <w:p>
      <w:pPr>
        <w:pStyle w:val="BodyText"/>
      </w:pPr>
      <w:r>
        <w:rPr>
          <w:b/>
          <w:bCs/>
        </w:rPr>
        <w:t xml:space="preserve">limit:</w:t>
      </w:r>
      <w:r>
        <w:t xml:space="preserve"> </w:t>
      </w:r>
      <w:r>
        <w:t xml:space="preserve">The analogy explicitly differs from divine nature; cannot import human learning or self-completion into God. Interpreting this through created reception is a constructive proposal.</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RD-ERI-PRESSURE — John Scottus Eriugena</w:t>
      </w:r>
    </w:p>
    <w:p>
      <w:pPr>
        <w:pStyle w:val="FirstParagraph"/>
      </w:pPr>
      <w:r>
        <w:rPr>
          <w:b/>
          <w:bCs/>
        </w:rPr>
        <w:t xml:space="preserve">id:</w:t>
      </w:r>
      <w:r>
        <w:t xml:space="preserve"> </w:t>
      </w:r>
      <w:r>
        <w:t xml:space="preserve">RD-ERI-PRESSURE</w:t>
      </w:r>
    </w:p>
    <w:p>
      <w:pPr>
        <w:pStyle w:val="BodyText"/>
      </w:pPr>
      <w:r>
        <w:rPr>
          <w:b/>
          <w:bCs/>
        </w:rPr>
        <w:t xml:space="preserve">author:</w:t>
      </w:r>
      <w:r>
        <w:t xml:space="preserve"> </w:t>
      </w:r>
      <w:r>
        <w:t xml:space="preserve">John Scottus Eriugena</w:t>
      </w:r>
    </w:p>
    <w:p>
      <w:pPr>
        <w:pStyle w:val="BodyText"/>
      </w:pPr>
      <w:r>
        <w:rPr>
          <w:b/>
          <w:bCs/>
        </w:rPr>
        <w:t xml:space="preserve">title:</w:t>
      </w:r>
      <w:r>
        <w:t xml:space="preserve"> </w:t>
      </w:r>
      <w:r>
        <w:t xml:space="preserve">Periphyseon (The Division of Nature)</w:t>
      </w:r>
    </w:p>
    <w:p>
      <w:pPr>
        <w:pStyle w:val="BodyText"/>
      </w:pPr>
      <w:r>
        <w:rPr>
          <w:b/>
          <w:bCs/>
        </w:rPr>
        <w:t xml:space="preserve">locus:</w:t>
      </w:r>
      <w:r>
        <w:t xml:space="preserve"> </w:t>
      </w:r>
      <w:r>
        <w:t xml:space="preserve">III.678C–D, p. 305; II.589B, pp. 195–196; III.689B, pp. 317–318 (inherited E5–E8)</w:t>
      </w:r>
    </w:p>
    <w:p>
      <w:pPr>
        <w:pStyle w:val="BodyText"/>
      </w:pPr>
      <w:r>
        <w:rPr>
          <w:b/>
          <w:bCs/>
        </w:rPr>
        <w:t xml:space="preserve">url:</w:t>
      </w:r>
      <w:r>
        <w:t xml:space="preserve"> </w:t>
      </w:r>
      <w:r>
        <w:t xml:space="preserve">https:/​/​plato.​stanford.​edu/​entries/​scottus-​eriugena/​</w:t>
      </w:r>
    </w:p>
    <w:p>
      <w:pPr>
        <w:pStyle w:val="BodyText"/>
      </w:pPr>
      <w:r>
        <w:rPr>
          <w:b/>
          <w:bCs/>
        </w:rPr>
        <w:t xml:space="preserve">status:</w:t>
      </w:r>
      <w:r>
        <w:t xml:space="preserve"> </w:t>
      </w:r>
      <w:r>
        <w:t xml:space="preserve">Inherited supplied primary quotations; no fresh complete critical-edition collation.</w:t>
      </w:r>
    </w:p>
    <w:p>
      <w:pPr>
        <w:pStyle w:val="BodyText"/>
      </w:pPr>
      <w:r>
        <w:rPr>
          <w:b/>
          <w:bCs/>
        </w:rPr>
        <w:t xml:space="preserve">edition:</w:t>
      </w:r>
      <w:r>
        <w:t xml:space="preserve"> </w:t>
      </w:r>
      <w:r>
        <w:t xml:space="preserve">Sheldon-Williams/O’Meara translation, 1987.</w:t>
      </w:r>
    </w:p>
    <w:p>
      <w:pPr>
        <w:pStyle w:val="BodyText"/>
      </w:pPr>
      <w:r>
        <w:rPr>
          <w:b/>
          <w:bCs/>
        </w:rPr>
        <w:t xml:space="preserve">claim:</w:t>
      </w:r>
      <w:r>
        <w:t xml:space="preserve"> </w:t>
      </w:r>
      <w:r>
        <w:t xml:space="preserve">Strong unity language and determinate self-knowing through theophany create an interpretive tension.</w:t>
      </w:r>
    </w:p>
    <w:p>
      <w:pPr>
        <w:pStyle w:val="BodyText"/>
      </w:pPr>
      <w:r>
        <w:rPr>
          <w:b/>
          <w:bCs/>
        </w:rPr>
        <w:t xml:space="preserve">establishes:</w:t>
      </w:r>
      <w:r>
        <w:t xml:space="preserve"> </w:t>
      </w:r>
      <w:r>
        <w:t xml:space="preserve">The adopted account must explicitly refuse numerical God–creature identity and completion of God by creation if either is required by the historical text.</w:t>
      </w:r>
    </w:p>
    <w:p>
      <w:pPr>
        <w:pStyle w:val="BodyText"/>
      </w:pPr>
      <w:r>
        <w:rPr>
          <w:b/>
          <w:bCs/>
        </w:rPr>
        <w:t xml:space="preserve">limit:</w:t>
      </w:r>
      <w:r>
        <w:t xml:space="preserve"> </w:t>
      </w:r>
      <w:r>
        <w:t xml:space="preserve">Do not harmonize away the strong wording. Preserve “as it were” and “in something” in III.689B. III.678D says the immediate unity passage is not about the Incarnation.</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RD-ERI-SEP — Dermot Moran</w:t>
      </w:r>
    </w:p>
    <w:p>
      <w:pPr>
        <w:pStyle w:val="FirstParagraph"/>
      </w:pPr>
      <w:r>
        <w:rPr>
          <w:b/>
          <w:bCs/>
        </w:rPr>
        <w:t xml:space="preserve">id:</w:t>
      </w:r>
      <w:r>
        <w:t xml:space="preserve"> </w:t>
      </w:r>
      <w:r>
        <w:t xml:space="preserve">RD-ERI-SEP</w:t>
      </w:r>
    </w:p>
    <w:p>
      <w:pPr>
        <w:pStyle w:val="BodyText"/>
      </w:pPr>
      <w:r>
        <w:rPr>
          <w:b/>
          <w:bCs/>
        </w:rPr>
        <w:t xml:space="preserve">author:</w:t>
      </w:r>
      <w:r>
        <w:t xml:space="preserve"> </w:t>
      </w:r>
      <w:r>
        <w:t xml:space="preserve">Dermot Moran</w:t>
      </w:r>
    </w:p>
    <w:p>
      <w:pPr>
        <w:pStyle w:val="BodyText"/>
      </w:pPr>
      <w:r>
        <w:rPr>
          <w:b/>
          <w:bCs/>
        </w:rPr>
        <w:t xml:space="preserve">title:</w:t>
      </w:r>
      <w:r>
        <w:t xml:space="preserve"> </w:t>
      </w:r>
      <w:r>
        <w:t xml:space="preserve">John Scottus Eriugena, Stanford Encyclopedia of Philosophy</w:t>
      </w:r>
    </w:p>
    <w:p>
      <w:pPr>
        <w:pStyle w:val="BodyText"/>
      </w:pPr>
      <w:r>
        <w:rPr>
          <w:b/>
          <w:bCs/>
        </w:rPr>
        <w:t xml:space="preserve">locus:</w:t>
      </w:r>
      <w:r>
        <w:t xml:space="preserve"> </w:t>
      </w:r>
      <w:r>
        <w:t xml:space="preserve">§§3.3–3.4; selected §3.9 passages on human nature and unity</w:t>
      </w:r>
    </w:p>
    <w:p>
      <w:pPr>
        <w:pStyle w:val="BodyText"/>
      </w:pPr>
      <w:r>
        <w:rPr>
          <w:b/>
          <w:bCs/>
        </w:rPr>
        <w:t xml:space="preserve">url:</w:t>
      </w:r>
      <w:r>
        <w:t xml:space="preserve"> </w:t>
      </w:r>
      <w:r>
        <w:t xml:space="preserve">https:/​/​plato.​stanford.​edu/​entries/​scottus-​eriugena/​</w:t>
      </w:r>
    </w:p>
    <w:p>
      <w:pPr>
        <w:pStyle w:val="BodyText"/>
      </w:pPr>
      <w:r>
        <w:rPr>
          <w:b/>
          <w:bCs/>
        </w:rPr>
        <w:t xml:space="preserve">status:</w:t>
      </w:r>
      <w:r>
        <w:t xml:space="preserve"> </w:t>
      </w:r>
      <w:r>
        <w:t xml:space="preserve">Fresh publisher consultation of selected passages, 12 October 2026.</w:t>
      </w:r>
    </w:p>
    <w:p>
      <w:pPr>
        <w:pStyle w:val="BodyText"/>
      </w:pPr>
      <w:r>
        <w:rPr>
          <w:b/>
          <w:bCs/>
        </w:rPr>
        <w:t xml:space="preserve">edition:</w:t>
      </w:r>
      <w:r>
        <w:t xml:space="preserve"> </w:t>
      </w:r>
      <w:r>
        <w:t xml:space="preserve">Substantive revision 30 October 2019; current publisher text.</w:t>
      </w:r>
    </w:p>
    <w:p>
      <w:pPr>
        <w:pStyle w:val="BodyText"/>
      </w:pPr>
      <w:r>
        <w:rPr>
          <w:b/>
          <w:bCs/>
        </w:rPr>
        <w:t xml:space="preserve">claim:</w:t>
      </w:r>
      <w:r>
        <w:t xml:space="preserve"> </w:t>
      </w:r>
      <w:r>
        <w:t xml:space="preserve">Categorical transcendence, theophanic self-manifestation, and Creator/created distinction coexist with strong unity language.</w:t>
      </w:r>
    </w:p>
    <w:p>
      <w:pPr>
        <w:pStyle w:val="BodyText"/>
      </w:pPr>
      <w:r>
        <w:rPr>
          <w:b/>
          <w:bCs/>
        </w:rPr>
        <w:t xml:space="preserve">establishes:</w:t>
      </w:r>
      <w:r>
        <w:t xml:space="preserve"> </w:t>
      </w:r>
      <w:r>
        <w:t xml:space="preserve">Confirms the need for critical retrieval rather than an effortless historical synthesis; provides I.455B and IV.796B as primary leads.</w:t>
      </w:r>
    </w:p>
    <w:p>
      <w:pPr>
        <w:pStyle w:val="BodyText"/>
      </w:pPr>
      <w:r>
        <w:rPr>
          <w:b/>
          <w:bCs/>
        </w:rPr>
        <w:t xml:space="preserve">limit:</w:t>
      </w:r>
      <w:r>
        <w:t xml:space="preserve"> </w:t>
      </w:r>
      <w:r>
        <w:t xml:space="preserve">I.455B and IV.796B are secondary-located in this pass, not directly collated primary quotations. The article offers an interpretation that must be distinguished from the project’s constructive choice.</w:t>
      </w:r>
    </w:p>
    <w:p>
      <w:pPr>
        <w:pStyle w:val="BodyText"/>
      </w:pPr>
      <w:r>
        <w:rPr>
          <w:b/>
          <w:bCs/>
        </w:rPr>
        <w:t xml:space="preserve">source_type:</w:t>
      </w:r>
      <w:r>
        <w:t xml:space="preserve"> </w:t>
      </w:r>
      <w:r>
        <w:t xml:space="preserve">secondary</w:t>
      </w:r>
    </w:p>
    <w:p>
      <w:pPr>
        <w:pStyle w:val="BodyText"/>
      </w:pPr>
      <w:r>
        <w:rPr>
          <w:b/>
          <w:bCs/>
        </w:rPr>
        <w:t xml:space="preserve">consultation_class:</w:t>
      </w:r>
      <w:r>
        <w:t xml:space="preserve"> </w:t>
      </w:r>
      <w:r>
        <w:t xml:space="preserve">secondary</w:t>
      </w:r>
    </w:p>
    <w:p>
      <w:pPr>
        <w:pStyle w:val="Heading3"/>
      </w:pPr>
      <w:r>
        <w:t xml:space="preserve">RX-CV — Benedict XVI (Joseph Ratzinger)</w:t>
      </w:r>
    </w:p>
    <w:p>
      <w:pPr>
        <w:pStyle w:val="FirstParagraph"/>
      </w:pPr>
      <w:r>
        <w:rPr>
          <w:b/>
          <w:bCs/>
        </w:rPr>
        <w:t xml:space="preserve">id:</w:t>
      </w:r>
      <w:r>
        <w:t xml:space="preserve"> </w:t>
      </w:r>
      <w:r>
        <w:t xml:space="preserve">RX-CV</w:t>
      </w:r>
    </w:p>
    <w:p>
      <w:pPr>
        <w:pStyle w:val="BodyText"/>
      </w:pPr>
      <w:r>
        <w:rPr>
          <w:b/>
          <w:bCs/>
        </w:rPr>
        <w:t xml:space="preserve">author:</w:t>
      </w:r>
      <w:r>
        <w:t xml:space="preserve"> </w:t>
      </w:r>
      <w:r>
        <w:t xml:space="preserve">Benedict XVI (Joseph Ratzinger)</w:t>
      </w:r>
    </w:p>
    <w:p>
      <w:pPr>
        <w:pStyle w:val="BodyText"/>
      </w:pPr>
      <w:r>
        <w:rPr>
          <w:b/>
          <w:bCs/>
        </w:rPr>
        <w:t xml:space="preserve">title:</w:t>
      </w:r>
      <w:r>
        <w:t xml:space="preserve"> </w:t>
      </w:r>
      <w:r>
        <w:t xml:space="preserve">Caritas in veritate</w:t>
      </w:r>
    </w:p>
    <w:p>
      <w:pPr>
        <w:pStyle w:val="BodyText"/>
      </w:pPr>
      <w:r>
        <w:rPr>
          <w:b/>
          <w:bCs/>
        </w:rPr>
        <w:t xml:space="preserve">locus:</w:t>
      </w:r>
      <w:r>
        <w:t xml:space="preserve"> </w:t>
      </w:r>
      <w:r>
        <w:t xml:space="preserve">§§2–5, 52–55; especially §§53–54</w:t>
      </w:r>
    </w:p>
    <w:p>
      <w:pPr>
        <w:pStyle w:val="BodyText"/>
      </w:pPr>
      <w:r>
        <w:rPr>
          <w:b/>
          <w:bCs/>
        </w:rPr>
        <w:t xml:space="preserve">url:</w:t>
      </w:r>
      <w:r>
        <w:t xml:space="preserve"> </w:t>
      </w:r>
      <w:r>
        <w:t xml:space="preserve">https:/​/​www.​vatican.​va/​content/​benedict-​xvi/​en/​encyclicals/​documents/​hf_​ben-​xvi_​enc_​20090629_​caritas-​in-​veritate.​html</w:t>
      </w:r>
    </w:p>
    <w:p>
      <w:pPr>
        <w:pStyle w:val="BodyText"/>
      </w:pPr>
      <w:r>
        <w:rPr>
          <w:b/>
          <w:bCs/>
        </w:rPr>
        <w:t xml:space="preserve">consulted_url:</w:t>
      </w:r>
      <w:r>
        <w:t xml:space="preserve"> </w:t>
      </w:r>
      <w:r>
        <w:t xml:space="preserve">https:/​/​raw.​githubusercontent.​com/​jackransomlovell/​popes/​master/​encyclicals_​texts/​Benedict%20XVI/​Caritas%20in%20veritate%20%28June%2029%2C%202009%29%20%20BENEDICT%20XVI.​txt</w:t>
      </w:r>
    </w:p>
    <w:p>
      <w:pPr>
        <w:pStyle w:val="BodyText"/>
      </w:pPr>
      <w:r>
        <w:rPr>
          <w:b/>
          <w:bCs/>
        </w:rPr>
        <w:t xml:space="preserve">status:</w:t>
      </w:r>
      <w:r>
        <w:t xml:space="preserve"> </w:t>
      </w:r>
      <w:r>
        <w:t xml:space="preserve">consulted-primary-transcript</w:t>
      </w:r>
    </w:p>
    <w:p>
      <w:pPr>
        <w:pStyle w:val="BodyText"/>
      </w:pPr>
      <w:r>
        <w:rPr>
          <w:b/>
          <w:bCs/>
        </w:rPr>
        <w:t xml:space="preserve">edition:</w:t>
      </w:r>
      <w:r>
        <w:t xml:space="preserve"> </w:t>
      </w:r>
      <w:r>
        <w:t xml:space="preserve">Official English text represented by an unofficial Vatican-scraping transcript; 29 June 2009. Official endpoint inaccessible and not line-collated.</w:t>
      </w:r>
    </w:p>
    <w:p>
      <w:pPr>
        <w:pStyle w:val="BodyText"/>
      </w:pPr>
      <w:r>
        <w:rPr>
          <w:b/>
          <w:bCs/>
        </w:rPr>
        <w:t xml:space="preserve">claim:</w:t>
      </w:r>
      <w:r>
        <w:t xml:space="preserve"> </w:t>
      </w:r>
      <w:r>
        <w:t xml:space="preserve">Metaphysical evaluation of relation; unity and openness can preserve personal and cultural identity; charity requires truth.</w:t>
      </w:r>
    </w:p>
    <w:p>
      <w:pPr>
        <w:pStyle w:val="BodyText"/>
      </w:pPr>
      <w:r>
        <w:rPr>
          <w:b/>
          <w:bCs/>
        </w:rPr>
        <w:t xml:space="preserve">establishes:</w:t>
      </w:r>
      <w:r>
        <w:t xml:space="preserve"> </w:t>
      </w:r>
      <w:r>
        <w:t xml:space="preserve">Theological and social affirmation of communion that preserves persons; a reason to examine real relations without counting every personal difference as a constituent part.</w:t>
      </w:r>
    </w:p>
    <w:p>
      <w:pPr>
        <w:pStyle w:val="BodyText"/>
      </w:pPr>
      <w:r>
        <w:rPr>
          <w:b/>
          <w:bCs/>
        </w:rPr>
        <w:t xml:space="preserve">limit:</w:t>
      </w:r>
      <w:r>
        <w:t xml:space="preserve"> </w:t>
      </w:r>
      <w:r>
        <w:t xml:space="preserve">Does not prove how divine action can be free while God remains intrinsically unchanged. Human growth through relationships does not establish divine change. Trinitarian personal origins are not alternative acts of creation.</w:t>
      </w:r>
    </w:p>
    <w:p>
      <w:pPr>
        <w:pStyle w:val="BodyText"/>
      </w:pPr>
      <w:r>
        <w:rPr>
          <w:b/>
          <w:bCs/>
        </w:rPr>
        <w:t xml:space="preserve">quote:</w:t>
      </w:r>
      <w:r>
        <w:t xml:space="preserve"> </w:t>
      </w:r>
      <w:r>
        <w:t xml:space="preserve">true openness does not mean loss of individual identity</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BodyText"/>
      </w:pPr>
      <w:r>
        <w:rPr>
          <w:b/>
          <w:bCs/>
        </w:rPr>
        <w:t xml:space="preserve">url_role:</w:t>
      </w:r>
      <w:r>
        <w:t xml:space="preserve"> </w:t>
      </w:r>
      <w:r>
        <w:t xml:space="preserve">Official reading address; access was blocked in this consultation</w:t>
      </w:r>
    </w:p>
    <w:p>
      <w:pPr>
        <w:pStyle w:val="Heading3"/>
      </w:pPr>
      <w:r>
        <w:t xml:space="preserve">RX-DCE — Benedict XVI (Joseph Ratzinger)</w:t>
      </w:r>
    </w:p>
    <w:p>
      <w:pPr>
        <w:pStyle w:val="FirstParagraph"/>
      </w:pPr>
      <w:r>
        <w:rPr>
          <w:b/>
          <w:bCs/>
        </w:rPr>
        <w:t xml:space="preserve">id:</w:t>
      </w:r>
      <w:r>
        <w:t xml:space="preserve"> </w:t>
      </w:r>
      <w:r>
        <w:t xml:space="preserve">RX-DCE</w:t>
      </w:r>
    </w:p>
    <w:p>
      <w:pPr>
        <w:pStyle w:val="BodyText"/>
      </w:pPr>
      <w:r>
        <w:rPr>
          <w:b/>
          <w:bCs/>
        </w:rPr>
        <w:t xml:space="preserve">author:</w:t>
      </w:r>
      <w:r>
        <w:t xml:space="preserve"> </w:t>
      </w:r>
      <w:r>
        <w:t xml:space="preserve">Benedict XVI (Joseph Ratzinger)</w:t>
      </w:r>
    </w:p>
    <w:p>
      <w:pPr>
        <w:pStyle w:val="BodyText"/>
      </w:pPr>
      <w:r>
        <w:rPr>
          <w:b/>
          <w:bCs/>
        </w:rPr>
        <w:t xml:space="preserve">title:</w:t>
      </w:r>
      <w:r>
        <w:t xml:space="preserve"> </w:t>
      </w:r>
      <w:r>
        <w:t xml:space="preserve">Deus caritas est</w:t>
      </w:r>
    </w:p>
    <w:p>
      <w:pPr>
        <w:pStyle w:val="BodyText"/>
      </w:pPr>
      <w:r>
        <w:rPr>
          <w:b/>
          <w:bCs/>
        </w:rPr>
        <w:t xml:space="preserve">locus:</w:t>
      </w:r>
      <w:r>
        <w:t xml:space="preserve"> </w:t>
      </w:r>
      <w:r>
        <w:t xml:space="preserve">§§9–10; especially §10</w:t>
      </w:r>
    </w:p>
    <w:p>
      <w:pPr>
        <w:pStyle w:val="BodyText"/>
      </w:pPr>
      <w:r>
        <w:rPr>
          <w:b/>
          <w:bCs/>
        </w:rPr>
        <w:t xml:space="preserve">url:</w:t>
      </w:r>
      <w:r>
        <w:t xml:space="preserve"> </w:t>
      </w:r>
      <w:r>
        <w:t xml:space="preserve">https:/​/​www.​vatican.​va/​content/​benedict-​xvi/​en/​encyclicals/​documents/​hf_​ben-​xvi_​enc_​20051225_​deus-​caritas-​est.​html</w:t>
      </w:r>
    </w:p>
    <w:p>
      <w:pPr>
        <w:pStyle w:val="BodyText"/>
      </w:pPr>
      <w:r>
        <w:rPr>
          <w:b/>
          <w:bCs/>
        </w:rPr>
        <w:t xml:space="preserve">consulted_url:</w:t>
      </w:r>
      <w:r>
        <w:t xml:space="preserve"> </w:t>
      </w:r>
      <w:r>
        <w:t xml:space="preserve">https:/​/​raw.​githubusercontent.​com/​jackransomlovell/​popes/​master/​encyclicals_​texts/​Benedict%20XVI/​Deus%20caritas%20est%20%28December%2025%2C%202005%29%20%20BENEDICT%20XVI.​txt</w:t>
      </w:r>
    </w:p>
    <w:p>
      <w:pPr>
        <w:pStyle w:val="BodyText"/>
      </w:pPr>
      <w:r>
        <w:rPr>
          <w:b/>
          <w:bCs/>
        </w:rPr>
        <w:t xml:space="preserve">status:</w:t>
      </w:r>
      <w:r>
        <w:t xml:space="preserve"> </w:t>
      </w:r>
      <w:r>
        <w:t xml:space="preserve">consulted-primary-transcript</w:t>
      </w:r>
    </w:p>
    <w:p>
      <w:pPr>
        <w:pStyle w:val="BodyText"/>
      </w:pPr>
      <w:r>
        <w:rPr>
          <w:b/>
          <w:bCs/>
        </w:rPr>
        <w:t xml:space="preserve">edition:</w:t>
      </w:r>
      <w:r>
        <w:t xml:space="preserve"> </w:t>
      </w:r>
      <w:r>
        <w:t xml:space="preserve">Official English text represented by an unofficial Vatican-scraping transcript; 25 December 2005. Official endpoint inaccessible and not line-collated.</w:t>
      </w:r>
    </w:p>
    <w:p>
      <w:pPr>
        <w:pStyle w:val="BodyText"/>
      </w:pPr>
      <w:r>
        <w:rPr>
          <w:b/>
          <w:bCs/>
        </w:rPr>
        <w:t xml:space="preserve">claim:</w:t>
      </w:r>
      <w:r>
        <w:t xml:space="preserve"> </w:t>
      </w:r>
      <w:r>
        <w:t xml:space="preserve">Universal divine source as Logos and personal love; communion does not dissolve God/creature distinction.</w:t>
      </w:r>
    </w:p>
    <w:p>
      <w:pPr>
        <w:pStyle w:val="BodyText"/>
      </w:pPr>
      <w:r>
        <w:rPr>
          <w:b/>
          <w:bCs/>
        </w:rPr>
        <w:t xml:space="preserve">establishes:</w:t>
      </w:r>
      <w:r>
        <w:t xml:space="preserve"> </w:t>
      </w:r>
      <w:r>
        <w:t xml:space="preserve">Christian theological conjunction of intelligibility, willed creation, elective love, and union without fusion.</w:t>
      </w:r>
    </w:p>
    <w:p>
      <w:pPr>
        <w:pStyle w:val="BodyText"/>
      </w:pPr>
      <w:r>
        <w:rPr>
          <w:b/>
          <w:bCs/>
        </w:rPr>
        <w:t xml:space="preserve">limit:</w:t>
      </w:r>
      <w:r>
        <w:t xml:space="preserve"> </w:t>
      </w:r>
      <w:r>
        <w:t xml:space="preserve">Does not establish contingency or explain what makes a particular divine action actual. Biblical language does not prove intrinsic divine change; the contrast with Aristotle is not a complete historical assessment.</w:t>
      </w:r>
    </w:p>
    <w:p>
      <w:pPr>
        <w:pStyle w:val="BodyText"/>
      </w:pPr>
      <w:r>
        <w:rPr>
          <w:b/>
          <w:bCs/>
        </w:rPr>
        <w:t xml:space="preserve">quote:</w:t>
      </w:r>
      <w:r>
        <w:t xml:space="preserve"> </w:t>
      </w:r>
      <w:r>
        <w:t xml:space="preserve">both God and man remain themselves and yet become fully one</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BodyText"/>
      </w:pPr>
      <w:r>
        <w:rPr>
          <w:b/>
          <w:bCs/>
        </w:rPr>
        <w:t xml:space="preserve">url_role:</w:t>
      </w:r>
      <w:r>
        <w:t xml:space="preserve"> </w:t>
      </w:r>
      <w:r>
        <w:t xml:space="preserve">Official reading address; access was blocked in this consultation</w:t>
      </w:r>
    </w:p>
    <w:p>
      <w:pPr>
        <w:pStyle w:val="Heading3"/>
      </w:pPr>
      <w:r>
        <w:t xml:space="preserve">RX-SS — Benedict XVI (Joseph Ratzinger)</w:t>
      </w:r>
    </w:p>
    <w:p>
      <w:pPr>
        <w:pStyle w:val="FirstParagraph"/>
      </w:pPr>
      <w:r>
        <w:rPr>
          <w:b/>
          <w:bCs/>
        </w:rPr>
        <w:t xml:space="preserve">id:</w:t>
      </w:r>
      <w:r>
        <w:t xml:space="preserve"> </w:t>
      </w:r>
      <w:r>
        <w:t xml:space="preserve">RX-SS</w:t>
      </w:r>
    </w:p>
    <w:p>
      <w:pPr>
        <w:pStyle w:val="BodyText"/>
      </w:pPr>
      <w:r>
        <w:rPr>
          <w:b/>
          <w:bCs/>
        </w:rPr>
        <w:t xml:space="preserve">author:</w:t>
      </w:r>
      <w:r>
        <w:t xml:space="preserve"> </w:t>
      </w:r>
      <w:r>
        <w:t xml:space="preserve">Benedict XVI (Joseph Ratzinger)</w:t>
      </w:r>
    </w:p>
    <w:p>
      <w:pPr>
        <w:pStyle w:val="BodyText"/>
      </w:pPr>
      <w:r>
        <w:rPr>
          <w:b/>
          <w:bCs/>
        </w:rPr>
        <w:t xml:space="preserve">title:</w:t>
      </w:r>
      <w:r>
        <w:t xml:space="preserve"> </w:t>
      </w:r>
      <w:r>
        <w:t xml:space="preserve">Spe salvi</w:t>
      </w:r>
    </w:p>
    <w:p>
      <w:pPr>
        <w:pStyle w:val="BodyText"/>
      </w:pPr>
      <w:r>
        <w:rPr>
          <w:b/>
          <w:bCs/>
        </w:rPr>
        <w:t xml:space="preserve">locus:</w:t>
      </w:r>
      <w:r>
        <w:t xml:space="preserve"> </w:t>
      </w:r>
      <w:r>
        <w:t xml:space="preserve">§§14–15</w:t>
      </w:r>
    </w:p>
    <w:p>
      <w:pPr>
        <w:pStyle w:val="BodyText"/>
      </w:pPr>
      <w:r>
        <w:rPr>
          <w:b/>
          <w:bCs/>
        </w:rPr>
        <w:t xml:space="preserve">url:</w:t>
      </w:r>
      <w:r>
        <w:t xml:space="preserve"> </w:t>
      </w:r>
      <w:r>
        <w:t xml:space="preserve">https:/​/​www.​vatican.​va/​content/​benedict-​xvi/​en/​encyclicals/​documents/​hf_​ben-​xvi_​enc_​20071130_​spe-​salvi.​html</w:t>
      </w:r>
    </w:p>
    <w:p>
      <w:pPr>
        <w:pStyle w:val="BodyText"/>
      </w:pPr>
      <w:r>
        <w:rPr>
          <w:b/>
          <w:bCs/>
        </w:rPr>
        <w:t xml:space="preserve">consulted_url:</w:t>
      </w:r>
      <w:r>
        <w:t xml:space="preserve"> </w:t>
      </w:r>
      <w:r>
        <w:t xml:space="preserve">https:/​/​raw.​githubusercontent.​com/​jackransomlovell/​popes/​master/​encyclicals_​texts/​Benedict%20XVI/​Spe%20salvi%20%28November%2030%2C%202007%29%20%20BENEDICT%20XVI.​txt</w:t>
      </w:r>
    </w:p>
    <w:p>
      <w:pPr>
        <w:pStyle w:val="BodyText"/>
      </w:pPr>
      <w:r>
        <w:rPr>
          <w:b/>
          <w:bCs/>
        </w:rPr>
        <w:t xml:space="preserve">status:</w:t>
      </w:r>
      <w:r>
        <w:t xml:space="preserve"> </w:t>
      </w:r>
      <w:r>
        <w:t xml:space="preserve">consulted-primary-transcript</w:t>
      </w:r>
    </w:p>
    <w:p>
      <w:pPr>
        <w:pStyle w:val="BodyText"/>
      </w:pPr>
      <w:r>
        <w:rPr>
          <w:b/>
          <w:bCs/>
        </w:rPr>
        <w:t xml:space="preserve">edition:</w:t>
      </w:r>
      <w:r>
        <w:t xml:space="preserve"> </w:t>
      </w:r>
      <w:r>
        <w:t xml:space="preserve">Official English text represented by an unofficial Vatican-scraping transcript; 30 November 2007. Official endpoint inaccessible and not line-collated.</w:t>
      </w:r>
    </w:p>
    <w:p>
      <w:pPr>
        <w:pStyle w:val="BodyText"/>
      </w:pPr>
      <w:r>
        <w:rPr>
          <w:b/>
          <w:bCs/>
        </w:rPr>
        <w:t xml:space="preserve">claim:</w:t>
      </w:r>
      <w:r>
        <w:t xml:space="preserve"> </w:t>
      </w:r>
      <w:r>
        <w:t xml:space="preserve">Communal salvation and embodied historical responsibility.</w:t>
      </w:r>
    </w:p>
    <w:p>
      <w:pPr>
        <w:pStyle w:val="BodyText"/>
      </w:pPr>
      <w:r>
        <w:rPr>
          <w:b/>
          <w:bCs/>
        </w:rPr>
        <w:t xml:space="preserve">establishes:</w:t>
      </w:r>
      <w:r>
        <w:t xml:space="preserve"> </w:t>
      </w:r>
      <w:r>
        <w:t xml:space="preserve">Theological application: communion has communal and practical scope rather than isolated absorption into an absolute.</w:t>
      </w:r>
    </w:p>
    <w:p>
      <w:pPr>
        <w:pStyle w:val="BodyText"/>
      </w:pPr>
      <w:r>
        <w:rPr>
          <w:b/>
          <w:bCs/>
        </w:rPr>
        <w:t xml:space="preserve">limit:</w:t>
      </w:r>
      <w:r>
        <w:t xml:space="preserve"> </w:t>
      </w:r>
      <w:r>
        <w:t xml:space="preserve">Not an independent metaphysical bridge to divine simplicity, freedom, or knowledge without learning from effects.</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BodyText"/>
      </w:pPr>
      <w:r>
        <w:rPr>
          <w:b/>
          <w:bCs/>
        </w:rPr>
        <w:t xml:space="preserve">url_role:</w:t>
      </w:r>
      <w:r>
        <w:t xml:space="preserve"> </w:t>
      </w:r>
      <w:r>
        <w:t xml:space="preserve">Official reading address; access was blocked in this consultation</w:t>
      </w:r>
    </w:p>
    <w:p>
      <w:pPr>
        <w:pStyle w:val="Heading3"/>
      </w:pPr>
      <w:r>
        <w:t xml:space="preserve">RX-PERSON — Joseph Ratzinger</w:t>
      </w:r>
    </w:p>
    <w:p>
      <w:pPr>
        <w:pStyle w:val="FirstParagraph"/>
      </w:pPr>
      <w:r>
        <w:rPr>
          <w:b/>
          <w:bCs/>
        </w:rPr>
        <w:t xml:space="preserve">id:</w:t>
      </w:r>
      <w:r>
        <w:t xml:space="preserve"> </w:t>
      </w:r>
      <w:r>
        <w:t xml:space="preserve">RX-PERSON</w:t>
      </w:r>
    </w:p>
    <w:p>
      <w:pPr>
        <w:pStyle w:val="BodyText"/>
      </w:pPr>
      <w:r>
        <w:rPr>
          <w:b/>
          <w:bCs/>
        </w:rPr>
        <w:t xml:space="preserve">author:</w:t>
      </w:r>
      <w:r>
        <w:t xml:space="preserve"> </w:t>
      </w:r>
      <w:r>
        <w:t xml:space="preserve">Joseph Ratzinger</w:t>
      </w:r>
    </w:p>
    <w:p>
      <w:pPr>
        <w:pStyle w:val="BodyText"/>
      </w:pPr>
      <w:r>
        <w:rPr>
          <w:b/>
          <w:bCs/>
        </w:rPr>
        <w:t xml:space="preserve">title:</w:t>
      </w:r>
      <w:r>
        <w:t xml:space="preserve"> </w:t>
      </w:r>
      <w:r>
        <w:t xml:space="preserve">Concerning the Notion of Person in Theology</w:t>
      </w:r>
    </w:p>
    <w:p>
      <w:pPr>
        <w:pStyle w:val="BodyText"/>
      </w:pPr>
      <w:r>
        <w:rPr>
          <w:b/>
          <w:bCs/>
        </w:rPr>
        <w:t xml:space="preserve">locus:</w:t>
      </w:r>
      <w:r>
        <w:t xml:space="preserve"> </w:t>
      </w:r>
      <w:r>
        <w:t xml:space="preserve">Communio 17 (1990), 439–454</w:t>
      </w:r>
    </w:p>
    <w:p>
      <w:pPr>
        <w:pStyle w:val="BodyText"/>
      </w:pPr>
      <w:r>
        <w:rPr>
          <w:b/>
          <w:bCs/>
        </w:rPr>
        <w:t xml:space="preserve">url:</w:t>
      </w:r>
      <w:r>
        <w:t xml:space="preserve"> </w:t>
      </w:r>
      <w:r>
        <w:t xml:space="preserve">https:/​/​www.​communio-​icr.​com/​articles/​view/​concerning-​the-​notion-​of-​person-​in-​theology</w:t>
      </w:r>
    </w:p>
    <w:p>
      <w:pPr>
        <w:pStyle w:val="BodyText"/>
      </w:pPr>
      <w:r>
        <w:rPr>
          <w:b/>
          <w:bCs/>
        </w:rPr>
        <w:t xml:space="preserve">status:</w:t>
      </w:r>
      <w:r>
        <w:t xml:space="preserve"> </w:t>
      </w:r>
      <w:r>
        <w:t xml:space="preserve">unconsulted-primary-lead</w:t>
      </w:r>
    </w:p>
    <w:p>
      <w:pPr>
        <w:pStyle w:val="BodyText"/>
      </w:pPr>
      <w:r>
        <w:rPr>
          <w:b/>
          <w:bCs/>
        </w:rPr>
        <w:t xml:space="preserve">edition:</w:t>
      </w:r>
      <w:r>
        <w:t xml:space="preserve"> </w:t>
      </w:r>
      <w:r>
        <w:t xml:space="preserve">Bibliographic lead only; publisher endpoint inaccessible.</w:t>
      </w:r>
    </w:p>
    <w:p>
      <w:pPr>
        <w:pStyle w:val="BodyText"/>
      </w:pPr>
      <w:r>
        <w:rPr>
          <w:b/>
          <w:bCs/>
        </w:rPr>
        <w:t xml:space="preserve">claim:</w:t>
      </w:r>
      <w:r>
        <w:t xml:space="preserve"> </w:t>
      </w:r>
      <w:r>
        <w:t xml:space="preserve">Potential further comparison concerning person and relation.</w:t>
      </w:r>
    </w:p>
    <w:p>
      <w:pPr>
        <w:pStyle w:val="BodyText"/>
      </w:pPr>
      <w:r>
        <w:rPr>
          <w:b/>
          <w:bCs/>
        </w:rPr>
        <w:t xml:space="preserve">establishes:</w:t>
      </w:r>
      <w:r>
        <w:t xml:space="preserve"> </w:t>
      </w:r>
      <w:r>
        <w:t xml:space="preserve">Nothing independently established by this research pass.</w:t>
      </w:r>
    </w:p>
    <w:p>
      <w:pPr>
        <w:pStyle w:val="BodyText"/>
      </w:pPr>
      <w:r>
        <w:rPr>
          <w:b/>
          <w:bCs/>
        </w:rPr>
        <w:t xml:space="preserve">limit:</w:t>
      </w:r>
      <w:r>
        <w:t xml:space="preserve"> </w:t>
      </w:r>
      <w:r>
        <w:t xml:space="preserve">Do not quote or attribute detailed technical arguments to this unconsulted essay; landing URL itself could not be verified against publisher output.</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lead</w:t>
      </w:r>
    </w:p>
    <w:p>
      <w:pPr>
        <w:pStyle w:val="BodyText"/>
      </w:pPr>
      <w:r>
        <w:rPr>
          <w:b/>
          <w:bCs/>
        </w:rPr>
        <w:t xml:space="preserve">url_role:</w:t>
      </w:r>
      <w:r>
        <w:t xml:space="preserve"> </w:t>
      </w:r>
      <w:r>
        <w:t xml:space="preserve">Unverified publisher lead</w:t>
      </w:r>
    </w:p>
    <w:p>
      <w:pPr>
        <w:pStyle w:val="Heading3"/>
      </w:pPr>
      <w:r>
        <w:t xml:space="preserve">RD-AQ-C — Thomas Aquinas</w:t>
      </w:r>
    </w:p>
    <w:p>
      <w:pPr>
        <w:pStyle w:val="FirstParagraph"/>
      </w:pPr>
      <w:r>
        <w:rPr>
          <w:b/>
          <w:bCs/>
        </w:rPr>
        <w:t xml:space="preserve">id:</w:t>
      </w:r>
      <w:r>
        <w:t xml:space="preserve"> </w:t>
      </w:r>
      <w:r>
        <w:t xml:space="preserve">RD-AQ-C</w:t>
      </w:r>
    </w:p>
    <w:p>
      <w:pPr>
        <w:pStyle w:val="BodyText"/>
      </w:pPr>
      <w:r>
        <w:rPr>
          <w:b/>
          <w:bCs/>
        </w:rPr>
        <w:t xml:space="preserve">author:</w:t>
      </w:r>
      <w:r>
        <w:t xml:space="preserve"> </w:t>
      </w:r>
      <w:r>
        <w:t xml:space="preserve">Thomas Aquinas</w:t>
      </w:r>
    </w:p>
    <w:p>
      <w:pPr>
        <w:pStyle w:val="BodyText"/>
      </w:pPr>
      <w:r>
        <w:rPr>
          <w:b/>
          <w:bCs/>
        </w:rPr>
        <w:t xml:space="preserve">title:</w:t>
      </w:r>
      <w:r>
        <w:t xml:space="preserve"> </w:t>
      </w:r>
      <w:r>
        <w:t xml:space="preserve">Summa theologiae</w:t>
      </w:r>
    </w:p>
    <w:p>
      <w:pPr>
        <w:pStyle w:val="BodyText"/>
      </w:pPr>
      <w:r>
        <w:rPr>
          <w:b/>
          <w:bCs/>
        </w:rPr>
        <w:t xml:space="preserve">locus:</w:t>
      </w:r>
      <w:r>
        <w:t xml:space="preserve"> </w:t>
      </w:r>
      <w:r>
        <w:t xml:space="preserve">I, q. 3, a. 7, respondeo</w:t>
      </w:r>
    </w:p>
    <w:p>
      <w:pPr>
        <w:pStyle w:val="BodyText"/>
      </w:pPr>
      <w:r>
        <w:rPr>
          <w:b/>
          <w:bCs/>
        </w:rPr>
        <w:t xml:space="preserve">url:</w:t>
      </w:r>
      <w:r>
        <w:t xml:space="preserve"> </w:t>
      </w:r>
      <w:r>
        <w:t xml:space="preserve">https:/​/​www.​newadvent.​org/​summa/​1003.​htm#article7</w:t>
      </w:r>
    </w:p>
    <w:p>
      <w:pPr>
        <w:pStyle w:val="BodyText"/>
      </w:pPr>
      <w:r>
        <w:rPr>
          <w:b/>
          <w:bCs/>
        </w:rPr>
        <w:t xml:space="preserve">consulted_url:</w:t>
      </w:r>
      <w:r>
        <w:t xml:space="preserve"> </w:t>
      </w:r>
      <w:r>
        <w:t xml:space="preserve">https:/​/​raw.​githubusercontent.​com/​GITenberg/​Summa-​Theologica-​Part-​I-​-​Prima-​Pars-​From-​the-​Complete-​American-​Edition_​17611/​master/​17611.​txt</w:t>
      </w:r>
    </w:p>
    <w:p>
      <w:pPr>
        <w:pStyle w:val="BodyText"/>
      </w:pPr>
      <w:r>
        <w:rPr>
          <w:b/>
          <w:bCs/>
        </w:rPr>
        <w:t xml:space="preserve">status:</w:t>
      </w:r>
      <w:r>
        <w:t xml:space="preserve"> </w:t>
      </w:r>
      <w:r>
        <w:t xml:space="preserve">Inherited directly consulted primary translation from Participation and Beyond Participation; not newly collated for page III.</w:t>
      </w:r>
    </w:p>
    <w:p>
      <w:pPr>
        <w:pStyle w:val="BodyText"/>
      </w:pPr>
      <w:r>
        <w:rPr>
          <w:b/>
          <w:bCs/>
        </w:rPr>
        <w:t xml:space="preserve">edition:</w:t>
      </w:r>
      <w:r>
        <w:t xml:space="preserve"> </w:t>
      </w:r>
      <w:r>
        <w:t xml:space="preserve">English Dominican Fathers, Complete American Edition; Gutenberg #17611 witness. New Advent is a public reading address.</w:t>
      </w:r>
    </w:p>
    <w:p>
      <w:pPr>
        <w:pStyle w:val="BodyText"/>
      </w:pPr>
      <w:r>
        <w:rPr>
          <w:b/>
          <w:bCs/>
        </w:rPr>
        <w:t xml:space="preserve">claim:</w:t>
      </w:r>
      <w:r>
        <w:t xml:space="preserve"> </w:t>
      </w:r>
      <w:r>
        <w:t xml:space="preserve">A composite depends upon the principles constituting it; divine simplicity uses several arguments.</w:t>
      </w:r>
    </w:p>
    <w:p>
      <w:pPr>
        <w:pStyle w:val="BodyText"/>
      </w:pPr>
      <w:r>
        <w:rPr>
          <w:b/>
          <w:bCs/>
        </w:rPr>
        <w:t xml:space="preserve">establishes:</w:t>
      </w:r>
      <w:r>
        <w:t xml:space="preserve"> </w:t>
      </w:r>
      <w:r>
        <w:t xml:space="preserve">A historical resource for the argument from dependence on constituents; different concepts do not by themselves establish proper parts.</w:t>
      </w:r>
    </w:p>
    <w:p>
      <w:pPr>
        <w:pStyle w:val="BodyText"/>
      </w:pPr>
      <w:r>
        <w:rPr>
          <w:b/>
          <w:bCs/>
        </w:rPr>
        <w:t xml:space="preserve">limit:</w:t>
      </w:r>
      <w:r>
        <w:t xml:space="preserve"> </w:t>
      </w:r>
      <w:r>
        <w:t xml:space="preserve">Efficient uncausedness alone does not prove full simplicity. The modern KD reconstruction is not Aquinas’s complete argument.</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Heading3"/>
      </w:pPr>
      <w:r>
        <w:t xml:space="preserve">RD-AQ-K — Thomas Aquinas</w:t>
      </w:r>
    </w:p>
    <w:p>
      <w:pPr>
        <w:pStyle w:val="FirstParagraph"/>
      </w:pPr>
      <w:r>
        <w:rPr>
          <w:b/>
          <w:bCs/>
        </w:rPr>
        <w:t xml:space="preserve">id:</w:t>
      </w:r>
      <w:r>
        <w:t xml:space="preserve"> </w:t>
      </w:r>
      <w:r>
        <w:t xml:space="preserve">RD-AQ-K</w:t>
      </w:r>
    </w:p>
    <w:p>
      <w:pPr>
        <w:pStyle w:val="BodyText"/>
      </w:pPr>
      <w:r>
        <w:rPr>
          <w:b/>
          <w:bCs/>
        </w:rPr>
        <w:t xml:space="preserve">author:</w:t>
      </w:r>
      <w:r>
        <w:t xml:space="preserve"> </w:t>
      </w:r>
      <w:r>
        <w:t xml:space="preserve">Thomas Aquinas</w:t>
      </w:r>
    </w:p>
    <w:p>
      <w:pPr>
        <w:pStyle w:val="BodyText"/>
      </w:pPr>
      <w:r>
        <w:rPr>
          <w:b/>
          <w:bCs/>
        </w:rPr>
        <w:t xml:space="preserve">title:</w:t>
      </w:r>
      <w:r>
        <w:t xml:space="preserve"> </w:t>
      </w:r>
      <w:r>
        <w:t xml:space="preserve">Summa theologiae</w:t>
      </w:r>
    </w:p>
    <w:p>
      <w:pPr>
        <w:pStyle w:val="BodyText"/>
      </w:pPr>
      <w:r>
        <w:rPr>
          <w:b/>
          <w:bCs/>
        </w:rPr>
        <w:t xml:space="preserve">locus:</w:t>
      </w:r>
      <w:r>
        <w:t xml:space="preserve"> </w:t>
      </w:r>
      <w:r>
        <w:t xml:space="preserve">I, q. 14, aa. 5, 8–9; especially a. 8, respondeo and ad 1/ad 3</w:t>
      </w:r>
    </w:p>
    <w:p>
      <w:pPr>
        <w:pStyle w:val="BodyText"/>
      </w:pPr>
      <w:r>
        <w:rPr>
          <w:b/>
          <w:bCs/>
        </w:rPr>
        <w:t xml:space="preserve">url:</w:t>
      </w:r>
      <w:r>
        <w:t xml:space="preserve"> </w:t>
      </w:r>
      <w:r>
        <w:t xml:space="preserve">https:/​/​www.​newadvent.​org/​summa/​1014.​htm</w:t>
      </w:r>
    </w:p>
    <w:p>
      <w:pPr>
        <w:pStyle w:val="BodyText"/>
      </w:pPr>
      <w:r>
        <w:rPr>
          <w:b/>
          <w:bCs/>
        </w:rPr>
        <w:t xml:space="preserve">consulted_url:</w:t>
      </w:r>
      <w:r>
        <w:t xml:space="preserve"> </w:t>
      </w:r>
      <w:r>
        <w:t xml:space="preserve">https:/​/​raw.​githubusercontent.​com/​GITenberg/​Summa-​Theologica-​Part-​I-​-​Prima-​Pars-​From-​the-​Complete-​American-​Edition_​17611/​master/​17611.​txt</w:t>
      </w:r>
    </w:p>
    <w:p>
      <w:pPr>
        <w:pStyle w:val="BodyText"/>
      </w:pPr>
      <w:r>
        <w:rPr>
          <w:b/>
          <w:bCs/>
        </w:rPr>
        <w:t xml:space="preserve">status:</w:t>
      </w:r>
      <w:r>
        <w:t xml:space="preserve"> </w:t>
      </w:r>
      <w:r>
        <w:t xml:space="preserve">Inherited direct consultation of aa. 5 and 8 in Beyond Participation; a. 9 inherited from manuscript register N11, not freshly checked here.</w:t>
      </w:r>
    </w:p>
    <w:p>
      <w:pPr>
        <w:pStyle w:val="BodyText"/>
      </w:pPr>
      <w:r>
        <w:rPr>
          <w:b/>
          <w:bCs/>
        </w:rPr>
        <w:t xml:space="preserve">edition:</w:t>
      </w:r>
      <w:r>
        <w:t xml:space="preserve"> </w:t>
      </w:r>
      <w:r>
        <w:t xml:space="preserve">English Dominican Fathers translation; Gutenberg #17611 and inherited manuscript source register.</w:t>
      </w:r>
    </w:p>
    <w:p>
      <w:pPr>
        <w:pStyle w:val="BodyText"/>
      </w:pPr>
      <w:r>
        <w:rPr>
          <w:b/>
          <w:bCs/>
        </w:rPr>
        <w:t xml:space="preserve">claim:</w:t>
      </w:r>
      <w:r>
        <w:t xml:space="preserve"> </w:t>
      </w:r>
      <w:r>
        <w:t xml:space="preserve">God knows effects through himself; knowledge causes things as joined to will; possibility-knowledge differs from realization.</w:t>
      </w:r>
    </w:p>
    <w:p>
      <w:pPr>
        <w:pStyle w:val="BodyText"/>
      </w:pPr>
      <w:r>
        <w:rPr>
          <w:b/>
          <w:bCs/>
        </w:rPr>
        <w:t xml:space="preserve">establishes:</w:t>
      </w:r>
      <w:r>
        <w:t xml:space="preserve"> </w:t>
      </w:r>
      <w:r>
        <w:t xml:space="preserve">Choice, knowledge through causing, and knowledge of possibilities need distinct explanations.</w:t>
      </w:r>
    </w:p>
    <w:p>
      <w:pPr>
        <w:pStyle w:val="BodyText"/>
      </w:pPr>
      <w:r>
        <w:rPr>
          <w:b/>
          <w:bCs/>
        </w:rPr>
        <w:t xml:space="preserve">limit:</w:t>
      </w:r>
      <w:r>
        <w:t xml:space="preserve"> </w:t>
      </w:r>
      <w:r>
        <w:t xml:space="preserve">Does not independently establish God’s existence, unrestricted cognitive perfection, knowledge of a particular actual choice, or knowledge of every permitted creaturely act.</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Heading3"/>
      </w:pPr>
      <w:r>
        <w:t xml:space="preserve">RD-AQ-W — Thomas Aquinas</w:t>
      </w:r>
    </w:p>
    <w:p>
      <w:pPr>
        <w:pStyle w:val="FirstParagraph"/>
      </w:pPr>
      <w:r>
        <w:rPr>
          <w:b/>
          <w:bCs/>
        </w:rPr>
        <w:t xml:space="preserve">id:</w:t>
      </w:r>
      <w:r>
        <w:t xml:space="preserve"> </w:t>
      </w:r>
      <w:r>
        <w:t xml:space="preserve">RD-AQ-W</w:t>
      </w:r>
    </w:p>
    <w:p>
      <w:pPr>
        <w:pStyle w:val="BodyText"/>
      </w:pPr>
      <w:r>
        <w:rPr>
          <w:b/>
          <w:bCs/>
        </w:rPr>
        <w:t xml:space="preserve">author:</w:t>
      </w:r>
      <w:r>
        <w:t xml:space="preserve"> </w:t>
      </w:r>
      <w:r>
        <w:t xml:space="preserve">Thomas Aquinas</w:t>
      </w:r>
    </w:p>
    <w:p>
      <w:pPr>
        <w:pStyle w:val="BodyText"/>
      </w:pPr>
      <w:r>
        <w:rPr>
          <w:b/>
          <w:bCs/>
        </w:rPr>
        <w:t xml:space="preserve">title:</w:t>
      </w:r>
      <w:r>
        <w:t xml:space="preserve"> </w:t>
      </w:r>
      <w:r>
        <w:t xml:space="preserve">Summa theologiae</w:t>
      </w:r>
    </w:p>
    <w:p>
      <w:pPr>
        <w:pStyle w:val="BodyText"/>
      </w:pPr>
      <w:r>
        <w:rPr>
          <w:b/>
          <w:bCs/>
        </w:rPr>
        <w:t xml:space="preserve">locus:</w:t>
      </w:r>
      <w:r>
        <w:t xml:space="preserve"> </w:t>
      </w:r>
      <w:r>
        <w:t xml:space="preserve">I, q. 19, aa. 2–3; a. 3, respondeo and ad 5</w:t>
      </w:r>
    </w:p>
    <w:p>
      <w:pPr>
        <w:pStyle w:val="BodyText"/>
      </w:pPr>
      <w:r>
        <w:rPr>
          <w:b/>
          <w:bCs/>
        </w:rPr>
        <w:t xml:space="preserve">url:</w:t>
      </w:r>
      <w:r>
        <w:t xml:space="preserve"> </w:t>
      </w:r>
      <w:r>
        <w:t xml:space="preserve">https:/​/​www.​newadvent.​org/​summa/​1019.​htm</w:t>
      </w:r>
    </w:p>
    <w:p>
      <w:pPr>
        <w:pStyle w:val="BodyText"/>
      </w:pPr>
      <w:r>
        <w:rPr>
          <w:b/>
          <w:bCs/>
        </w:rPr>
        <w:t xml:space="preserve">consulted_url:</w:t>
      </w:r>
      <w:r>
        <w:t xml:space="preserve"> </w:t>
      </w:r>
      <w:r>
        <w:t xml:space="preserve">https:/​/​raw.​githubusercontent.​com/​GITenberg/​Summa-​Theologica-​Part-​I-​-​Prima-​Pars-​From-​the-​Complete-​American-​Edition_​17611/​master/​17611.​txt</w:t>
      </w:r>
    </w:p>
    <w:p>
      <w:pPr>
        <w:pStyle w:val="BodyText"/>
      </w:pPr>
      <w:r>
        <w:rPr>
          <w:b/>
          <w:bCs/>
        </w:rPr>
        <w:t xml:space="preserve">status:</w:t>
      </w:r>
      <w:r>
        <w:t xml:space="preserve"> </w:t>
      </w:r>
      <w:r>
        <w:t xml:space="preserve">Inherited directly consulted primary translation from Beyond Participation; no new critical collation for page III.</w:t>
      </w:r>
    </w:p>
    <w:p>
      <w:pPr>
        <w:pStyle w:val="BodyText"/>
      </w:pPr>
      <w:r>
        <w:rPr>
          <w:b/>
          <w:bCs/>
        </w:rPr>
        <w:t xml:space="preserve">edition:</w:t>
      </w:r>
      <w:r>
        <w:t xml:space="preserve"> </w:t>
      </w:r>
      <w:r>
        <w:t xml:space="preserve">English Dominican Fathers translation; Gutenberg #17611 witness.</w:t>
      </w:r>
    </w:p>
    <w:p>
      <w:pPr>
        <w:pStyle w:val="BodyText"/>
      </w:pPr>
      <w:r>
        <w:rPr>
          <w:b/>
          <w:bCs/>
        </w:rPr>
        <w:t xml:space="preserve">claim:</w:t>
      </w:r>
      <w:r>
        <w:t xml:space="preserve"> </w:t>
      </w:r>
      <w:r>
        <w:t xml:space="preserve">Necessary willing of divine goodness does not make willing creatures absolutely necessary; divine will determines itself toward things with no necessary relation.</w:t>
      </w:r>
    </w:p>
    <w:p>
      <w:pPr>
        <w:pStyle w:val="BodyText"/>
      </w:pPr>
      <w:r>
        <w:rPr>
          <w:b/>
          <w:bCs/>
        </w:rPr>
        <w:t xml:space="preserve">establishes:</w:t>
      </w:r>
      <w:r>
        <w:t xml:space="preserve"> </w:t>
      </w:r>
      <w:r>
        <w:t xml:space="preserve">A rational-voluntary resource for contingent communication; distinguishes necessity by supposition from absolute necessity.</w:t>
      </w:r>
    </w:p>
    <w:p>
      <w:pPr>
        <w:pStyle w:val="BodyText"/>
      </w:pPr>
      <w:r>
        <w:rPr>
          <w:b/>
          <w:bCs/>
        </w:rPr>
        <w:t xml:space="preserve">limit:</w:t>
      </w:r>
      <w:r>
        <w:t xml:space="preserve"> </w:t>
      </w:r>
      <w:r>
        <w:t xml:space="preserve">The account of reasons, purposes, and agency still needs defense. Neither non-exhaustion alone nor this quotation settles whether God remains intrinsically the same across alternative creations.</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Heading3"/>
      </w:pPr>
      <w:r>
        <w:t xml:space="preserve">RD-AQ-R — Thomas Aquinas</w:t>
      </w:r>
    </w:p>
    <w:p>
      <w:pPr>
        <w:pStyle w:val="FirstParagraph"/>
      </w:pPr>
      <w:r>
        <w:rPr>
          <w:b/>
          <w:bCs/>
        </w:rPr>
        <w:t xml:space="preserve">id:</w:t>
      </w:r>
      <w:r>
        <w:t xml:space="preserve"> </w:t>
      </w:r>
      <w:r>
        <w:t xml:space="preserve">RD-AQ-R</w:t>
      </w:r>
    </w:p>
    <w:p>
      <w:pPr>
        <w:pStyle w:val="BodyText"/>
      </w:pPr>
      <w:r>
        <w:rPr>
          <w:b/>
          <w:bCs/>
        </w:rPr>
        <w:t xml:space="preserve">author:</w:t>
      </w:r>
      <w:r>
        <w:t xml:space="preserve"> </w:t>
      </w:r>
      <w:r>
        <w:t xml:space="preserve">Thomas Aquinas</w:t>
      </w:r>
    </w:p>
    <w:p>
      <w:pPr>
        <w:pStyle w:val="BodyText"/>
      </w:pPr>
      <w:r>
        <w:rPr>
          <w:b/>
          <w:bCs/>
        </w:rPr>
        <w:t xml:space="preserve">title:</w:t>
      </w:r>
      <w:r>
        <w:t xml:space="preserve"> </w:t>
      </w:r>
      <w:r>
        <w:t xml:space="preserve">Summa theologiae</w:t>
      </w:r>
    </w:p>
    <w:p>
      <w:pPr>
        <w:pStyle w:val="BodyText"/>
      </w:pPr>
      <w:r>
        <w:rPr>
          <w:b/>
          <w:bCs/>
        </w:rPr>
        <w:t xml:space="preserve">locus:</w:t>
      </w:r>
      <w:r>
        <w:t xml:space="preserve"> </w:t>
      </w:r>
      <w:r>
        <w:t xml:space="preserve">I, q. 45, a. 3; especially ad 1</w:t>
      </w:r>
    </w:p>
    <w:p>
      <w:pPr>
        <w:pStyle w:val="BodyText"/>
      </w:pPr>
      <w:r>
        <w:rPr>
          <w:b/>
          <w:bCs/>
        </w:rPr>
        <w:t xml:space="preserve">url:</w:t>
      </w:r>
      <w:r>
        <w:t xml:space="preserve"> </w:t>
      </w:r>
      <w:r>
        <w:t xml:space="preserve">https:/​/​www.​newadvent.​org/​summa/​1045.​htm#article3</w:t>
      </w:r>
    </w:p>
    <w:p>
      <w:pPr>
        <w:pStyle w:val="BodyText"/>
      </w:pPr>
      <w:r>
        <w:rPr>
          <w:b/>
          <w:bCs/>
        </w:rPr>
        <w:t xml:space="preserve">status:</w:t>
      </w:r>
      <w:r>
        <w:t xml:space="preserve"> </w:t>
      </w:r>
      <w:r>
        <w:t xml:space="preserve">Inherited manuscript source register N11; translation check reported there, not repeated for page III.</w:t>
      </w:r>
    </w:p>
    <w:p>
      <w:pPr>
        <w:pStyle w:val="BodyText"/>
      </w:pPr>
      <w:r>
        <w:rPr>
          <w:b/>
          <w:bCs/>
        </w:rPr>
        <w:t xml:space="preserve">edition:</w:t>
      </w:r>
      <w:r>
        <w:t xml:space="preserve"> </w:t>
      </w:r>
      <w:r>
        <w:t xml:space="preserve">English Dominican Fathers translation, New Advent/CCEL as reported in the inherited manuscript register.</w:t>
      </w:r>
    </w:p>
    <w:p>
      <w:pPr>
        <w:pStyle w:val="BodyText"/>
      </w:pPr>
      <w:r>
        <w:rPr>
          <w:b/>
          <w:bCs/>
        </w:rPr>
        <w:t xml:space="preserve">claim:</w:t>
      </w:r>
      <w:r>
        <w:t xml:space="preserve"> </w:t>
      </w:r>
      <w:r>
        <w:t xml:space="preserve">Active creation is divine action with reference to the creature; created dependence does not require a corresponding intrinsic divine accident.</w:t>
      </w:r>
    </w:p>
    <w:p>
      <w:pPr>
        <w:pStyle w:val="BodyText"/>
      </w:pPr>
      <w:r>
        <w:rPr>
          <w:b/>
          <w:bCs/>
        </w:rPr>
        <w:t xml:space="preserve">establishes:</w:t>
      </w:r>
      <w:r>
        <w:t xml:space="preserve"> </w:t>
      </w:r>
      <w:r>
        <w:t xml:space="preserve">A classical source for distinguishing divine action in relation to creatures from creatures’ real dependence on God.</w:t>
      </w:r>
    </w:p>
    <w:p>
      <w:pPr>
        <w:pStyle w:val="BodyText"/>
      </w:pPr>
      <w:r>
        <w:rPr>
          <w:b/>
          <w:bCs/>
        </w:rPr>
        <w:t xml:space="preserve">limit:</w:t>
      </w:r>
      <w:r>
        <w:t xml:space="preserve"> </w:t>
      </w:r>
      <w:r>
        <w:t xml:space="preserve">Creation understood as a relation does not by itself explain free intentional choice, control, or justified knowledge. This account does not establish the Trinity or the Incarnation.</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Heading3"/>
      </w:pPr>
      <w:r>
        <w:t xml:space="preserve">RD-AU-FIN — Augustine</w:t>
      </w:r>
    </w:p>
    <w:p>
      <w:pPr>
        <w:pStyle w:val="FirstParagraph"/>
      </w:pPr>
      <w:r>
        <w:rPr>
          <w:b/>
          <w:bCs/>
        </w:rPr>
        <w:t xml:space="preserve">id:</w:t>
      </w:r>
      <w:r>
        <w:t xml:space="preserve"> </w:t>
      </w:r>
      <w:r>
        <w:t xml:space="preserve">RD-AU-FIN</w:t>
      </w:r>
    </w:p>
    <w:p>
      <w:pPr>
        <w:pStyle w:val="BodyText"/>
      </w:pPr>
      <w:r>
        <w:rPr>
          <w:b/>
          <w:bCs/>
        </w:rPr>
        <w:t xml:space="preserve">author:</w:t>
      </w:r>
      <w:r>
        <w:t xml:space="preserve"> </w:t>
      </w:r>
      <w:r>
        <w:t xml:space="preserve">Augustine</w:t>
      </w:r>
    </w:p>
    <w:p>
      <w:pPr>
        <w:pStyle w:val="BodyText"/>
      </w:pPr>
      <w:r>
        <w:rPr>
          <w:b/>
          <w:bCs/>
        </w:rPr>
        <w:t xml:space="preserve">title:</w:t>
      </w:r>
      <w:r>
        <w:t xml:space="preserve"> </w:t>
      </w:r>
      <w:r>
        <w:t xml:space="preserve">Confessions</w:t>
      </w:r>
    </w:p>
    <w:p>
      <w:pPr>
        <w:pStyle w:val="BodyText"/>
      </w:pPr>
      <w:r>
        <w:rPr>
          <w:b/>
          <w:bCs/>
        </w:rPr>
        <w:t xml:space="preserve">locus:</w:t>
      </w:r>
      <w:r>
        <w:t xml:space="preserve"> </w:t>
      </w:r>
      <w:r>
        <w:t xml:space="preserve">IV.10.15</w:t>
      </w:r>
    </w:p>
    <w:p>
      <w:pPr>
        <w:pStyle w:val="BodyText"/>
      </w:pPr>
      <w:r>
        <w:rPr>
          <w:b/>
          <w:bCs/>
        </w:rPr>
        <w:t xml:space="preserve">url:</w:t>
      </w:r>
      <w:r>
        <w:t xml:space="preserve"> </w:t>
      </w:r>
      <w:r>
        <w:t xml:space="preserve">https:/​/​www.​newadvent.​org/​fathers/​110104.​htm</w:t>
      </w:r>
    </w:p>
    <w:p>
      <w:pPr>
        <w:pStyle w:val="BodyText"/>
      </w:pPr>
      <w:r>
        <w:rPr>
          <w:b/>
          <w:bCs/>
        </w:rPr>
        <w:t xml:space="preserve">status:</w:t>
      </w:r>
      <w:r>
        <w:t xml:space="preserve"> </w:t>
      </w:r>
      <w:r>
        <w:t xml:space="preserve">Inherited manuscript primary quotation, register N5; not freshly consulted for page III.</w:t>
      </w:r>
    </w:p>
    <w:p>
      <w:pPr>
        <w:pStyle w:val="BodyText"/>
      </w:pPr>
      <w:r>
        <w:rPr>
          <w:b/>
          <w:bCs/>
        </w:rPr>
        <w:t xml:space="preserve">edition:</w:t>
      </w:r>
      <w:r>
        <w:t xml:space="preserve"> </w:t>
      </w:r>
      <w:r>
        <w:t xml:space="preserve">J. G. Pilkington translation, NPNF first series I (1887); inherited structural locus.</w:t>
      </w:r>
    </w:p>
    <w:p>
      <w:pPr>
        <w:pStyle w:val="BodyText"/>
      </w:pPr>
      <w:r>
        <w:rPr>
          <w:b/>
          <w:bCs/>
        </w:rPr>
        <w:t xml:space="preserve">claim:</w:t>
      </w:r>
      <w:r>
        <w:t xml:space="preserve"> </w:t>
      </w:r>
      <w:r>
        <w:t xml:space="preserve">Successive words pass as the whole utterance is completed.</w:t>
      </w:r>
    </w:p>
    <w:p>
      <w:pPr>
        <w:pStyle w:val="BodyText"/>
      </w:pPr>
      <w:r>
        <w:rPr>
          <w:b/>
          <w:bCs/>
        </w:rPr>
        <w:t xml:space="preserve">establishes:</w:t>
      </w:r>
      <w:r>
        <w:t xml:space="preserve"> </w:t>
      </w:r>
      <w:r>
        <w:t xml:space="preserve">A historical illustration of how temporal succession can contribute to an achieved whole.</w:t>
      </w:r>
    </w:p>
    <w:p>
      <w:pPr>
        <w:pStyle w:val="BodyText"/>
      </w:pPr>
      <w:r>
        <w:rPr>
          <w:b/>
          <w:bCs/>
        </w:rPr>
        <w:t xml:space="preserve">limit:</w:t>
      </w:r>
      <w:r>
        <w:t xml:space="preserve"> </w:t>
      </w:r>
      <w:r>
        <w:t xml:space="preserve">The claim that finite conditions partly constitute some goods is the project’s constructive extension. This passage does not show that every loss or suffering is beneficial.</w:t>
      </w:r>
    </w:p>
    <w:p>
      <w:pPr>
        <w:pStyle w:val="BodyText"/>
      </w:pPr>
      <w:r>
        <w:rPr>
          <w:b/>
          <w:bCs/>
        </w:rPr>
        <w:t xml:space="preserve">quote:</w:t>
      </w:r>
      <w:r>
        <w:t xml:space="preserve"> </w:t>
      </w:r>
      <w:r>
        <w:t xml:space="preserve">Unless one word pass away when it has sounded its part.</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Heading3"/>
      </w:pPr>
      <w:r>
        <w:t xml:space="preserve">RD-AU-IDEAS — Augustine</w:t>
      </w:r>
    </w:p>
    <w:p>
      <w:pPr>
        <w:pStyle w:val="FirstParagraph"/>
      </w:pPr>
      <w:r>
        <w:rPr>
          <w:b/>
          <w:bCs/>
        </w:rPr>
        <w:t xml:space="preserve">id:</w:t>
      </w:r>
      <w:r>
        <w:t xml:space="preserve"> </w:t>
      </w:r>
      <w:r>
        <w:t xml:space="preserve">RD-AU-IDEAS</w:t>
      </w:r>
    </w:p>
    <w:p>
      <w:pPr>
        <w:pStyle w:val="BodyText"/>
      </w:pPr>
      <w:r>
        <w:rPr>
          <w:b/>
          <w:bCs/>
        </w:rPr>
        <w:t xml:space="preserve">author:</w:t>
      </w:r>
      <w:r>
        <w:t xml:space="preserve"> </w:t>
      </w:r>
      <w:r>
        <w:t xml:space="preserve">Augustine</w:t>
      </w:r>
    </w:p>
    <w:p>
      <w:pPr>
        <w:pStyle w:val="BodyText"/>
      </w:pPr>
      <w:r>
        <w:rPr>
          <w:b/>
          <w:bCs/>
        </w:rPr>
        <w:t xml:space="preserve">title:</w:t>
      </w:r>
      <w:r>
        <w:t xml:space="preserve"> </w:t>
      </w:r>
      <w:r>
        <w:t xml:space="preserve">De diversis quaestionibus octoginta tribus (Eighty-three Different Questions)</w:t>
      </w:r>
    </w:p>
    <w:p>
      <w:pPr>
        <w:pStyle w:val="BodyText"/>
      </w:pPr>
      <w:r>
        <w:rPr>
          <w:b/>
          <w:bCs/>
        </w:rPr>
        <w:t xml:space="preserve">locus:</w:t>
      </w:r>
      <w:r>
        <w:t xml:space="preserve"> </w:t>
      </w:r>
      <w:r>
        <w:t xml:space="preserve">q. 46, especially §§1–2, De ideis</w:t>
      </w:r>
    </w:p>
    <w:p>
      <w:pPr>
        <w:pStyle w:val="BodyText"/>
      </w:pPr>
      <w:r>
        <w:rPr>
          <w:b/>
          <w:bCs/>
        </w:rPr>
        <w:t xml:space="preserve">url:</w:t>
      </w:r>
      <w:r>
        <w:t xml:space="preserve"> </w:t>
      </w:r>
      <w:r>
        <w:t xml:space="preserve">https:/​/​plato.​stanford.​edu/​entries/​augustine/​</w:t>
      </w:r>
    </w:p>
    <w:p>
      <w:pPr>
        <w:pStyle w:val="BodyText"/>
      </w:pPr>
      <w:r>
        <w:rPr>
          <w:b/>
          <w:bCs/>
        </w:rPr>
        <w:t xml:space="preserve">status:</w:t>
      </w:r>
      <w:r>
        <w:t xml:space="preserve"> </w:t>
      </w:r>
      <w:r>
        <w:t xml:space="preserve">Inherited primary bibliographic lead from Participation; q. 46 was not directly consulted in the website research and is not freshly verified here.</w:t>
      </w:r>
    </w:p>
    <w:p>
      <w:pPr>
        <w:pStyle w:val="BodyText"/>
      </w:pPr>
      <w:r>
        <w:rPr>
          <w:b/>
          <w:bCs/>
        </w:rPr>
        <w:t xml:space="preserve">edition:</w:t>
      </w:r>
      <w:r>
        <w:t xml:space="preserve"> </w:t>
      </w:r>
      <w:r>
        <w:t xml:space="preserve">No primary critical-edition collation performed in this research pass.</w:t>
      </w:r>
    </w:p>
    <w:p>
      <w:pPr>
        <w:pStyle w:val="BodyText"/>
      </w:pPr>
      <w:r>
        <w:rPr>
          <w:b/>
          <w:bCs/>
        </w:rPr>
        <w:t xml:space="preserve">claim:</w:t>
      </w:r>
      <w:r>
        <w:t xml:space="preserve"> </w:t>
      </w:r>
      <w:r>
        <w:t xml:space="preserve">Proposed further control for ideas as immutable formative reasons in divine intelligence.</w:t>
      </w:r>
    </w:p>
    <w:p>
      <w:pPr>
        <w:pStyle w:val="BodyText"/>
      </w:pPr>
      <w:r>
        <w:rPr>
          <w:b/>
          <w:bCs/>
        </w:rPr>
        <w:t xml:space="preserve">establishes:</w:t>
      </w:r>
      <w:r>
        <w:t xml:space="preserve"> </w:t>
      </w:r>
      <w:r>
        <w:t xml:space="preserve">Nothing independently established by this unconsulted primary lead; the broader exemplar account has other consulted witnesses.</w:t>
      </w:r>
    </w:p>
    <w:p>
      <w:pPr>
        <w:pStyle w:val="BodyText"/>
      </w:pPr>
      <w:r>
        <w:rPr>
          <w:b/>
          <w:bCs/>
        </w:rPr>
        <w:t xml:space="preserve">limit:</w:t>
      </w:r>
      <w:r>
        <w:t xml:space="preserve"> </w:t>
      </w:r>
      <w:r>
        <w:t xml:space="preserve">Do not treat the link as a primary witness or quote this question as newly verified. Exemplar intelligibility still differs from actual creative selection.</w:t>
      </w:r>
    </w:p>
    <w:p>
      <w:pPr>
        <w:pStyle w:val="BodyText"/>
      </w:pPr>
      <w:r>
        <w:rPr>
          <w:b/>
          <w:bCs/>
        </w:rPr>
        <w:t xml:space="preserve">url_role:</w:t>
      </w:r>
      <w:r>
        <w:t xml:space="preserve"> </w:t>
      </w:r>
      <w:r>
        <w:t xml:space="preserve">Specialist orientation; exact primary locus supplied as an unconsulted lead</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lead</w:t>
      </w:r>
    </w:p>
    <w:p>
      <w:pPr>
        <w:pStyle w:val="Heading3"/>
      </w:pPr>
      <w:r>
        <w:t xml:space="preserve">RD-NW — John Henry Newman</w:t>
      </w:r>
    </w:p>
    <w:p>
      <w:pPr>
        <w:pStyle w:val="FirstParagraph"/>
      </w:pPr>
      <w:r>
        <w:rPr>
          <w:b/>
          <w:bCs/>
        </w:rPr>
        <w:t xml:space="preserve">id:</w:t>
      </w:r>
      <w:r>
        <w:t xml:space="preserve"> </w:t>
      </w:r>
      <w:r>
        <w:t xml:space="preserve">RD-NW</w:t>
      </w:r>
    </w:p>
    <w:p>
      <w:pPr>
        <w:pStyle w:val="BodyText"/>
      </w:pPr>
      <w:r>
        <w:rPr>
          <w:b/>
          <w:bCs/>
        </w:rPr>
        <w:t xml:space="preserve">author:</w:t>
      </w:r>
      <w:r>
        <w:t xml:space="preserve"> </w:t>
      </w:r>
      <w:r>
        <w:t xml:space="preserve">John Henry Newman</w:t>
      </w:r>
    </w:p>
    <w:p>
      <w:pPr>
        <w:pStyle w:val="BodyText"/>
      </w:pPr>
      <w:r>
        <w:rPr>
          <w:b/>
          <w:bCs/>
        </w:rPr>
        <w:t xml:space="preserve">title:</w:t>
      </w:r>
      <w:r>
        <w:t xml:space="preserve"> </w:t>
      </w:r>
      <w:r>
        <w:t xml:space="preserve">An Essay on the Development of Christian Doctrine</w:t>
      </w:r>
    </w:p>
    <w:p>
      <w:pPr>
        <w:pStyle w:val="BodyText"/>
      </w:pPr>
      <w:r>
        <w:rPr>
          <w:b/>
          <w:bCs/>
        </w:rPr>
        <w:t xml:space="preserve">locus:</w:t>
      </w:r>
      <w:r>
        <w:t xml:space="preserve"> </w:t>
      </w:r>
      <w:r>
        <w:t xml:space="preserve">Part II, chapter V, §§I–VII; opening §4 on varying cogency, independence, and applicability</w:t>
      </w:r>
    </w:p>
    <w:p>
      <w:pPr>
        <w:pStyle w:val="BodyText"/>
      </w:pPr>
      <w:r>
        <w:rPr>
          <w:b/>
          <w:bCs/>
        </w:rPr>
        <w:t xml:space="preserve">url:</w:t>
      </w:r>
      <w:r>
        <w:t xml:space="preserve"> </w:t>
      </w:r>
      <w:r>
        <w:t xml:space="preserve">https:/​/​www.​gutenberg.​org/​ebooks/​35110</w:t>
      </w:r>
    </w:p>
    <w:p>
      <w:pPr>
        <w:pStyle w:val="BodyText"/>
      </w:pPr>
      <w:r>
        <w:rPr>
          <w:b/>
          <w:bCs/>
        </w:rPr>
        <w:t xml:space="preserve">consulted_url:</w:t>
      </w:r>
      <w:r>
        <w:t xml:space="preserve"> </w:t>
      </w:r>
      <w:r>
        <w:t xml:space="preserve">https:/​/​raw.​githubusercontent.​com/​GITenberg/​An-​Essay-​on-​the-​Development-​of-​Christian-​Doctrine_​35110/​master/​35110.​txt</w:t>
      </w:r>
    </w:p>
    <w:p>
      <w:pPr>
        <w:pStyle w:val="BodyText"/>
      </w:pPr>
      <w:r>
        <w:rPr>
          <w:b/>
          <w:bCs/>
        </w:rPr>
        <w:t xml:space="preserve">status:</w:t>
      </w:r>
      <w:r>
        <w:t xml:space="preserve"> </w:t>
      </w:r>
      <w:r>
        <w:t xml:space="preserve">Inherited directly consulted primary witness from Participation; no new edition collation for page III.</w:t>
      </w:r>
    </w:p>
    <w:p>
      <w:pPr>
        <w:pStyle w:val="BodyText"/>
      </w:pPr>
      <w:r>
        <w:rPr>
          <w:b/>
          <w:bCs/>
        </w:rPr>
        <w:t xml:space="preserve">edition:</w:t>
      </w:r>
      <w:r>
        <w:t xml:space="preserve"> </w:t>
      </w:r>
      <w:r>
        <w:t xml:space="preserve">Project Gutenberg #35110 / GITenberg transcription.</w:t>
      </w:r>
    </w:p>
    <w:p>
      <w:pPr>
        <w:pStyle w:val="BodyText"/>
      </w:pPr>
      <w:r>
        <w:rPr>
          <w:b/>
          <w:bCs/>
        </w:rPr>
        <w:t xml:space="preserve">claim:</w:t>
      </w:r>
      <w:r>
        <w:t xml:space="preserve"> </w:t>
      </w:r>
      <w:r>
        <w:t xml:space="preserve">Seven notes: preservation of type; continuity of principles; power of assimilation; logical sequence; anticipation of its future; conservative action upon its past; chronic vigour.</w:t>
      </w:r>
    </w:p>
    <w:p>
      <w:pPr>
        <w:pStyle w:val="BodyText"/>
      </w:pPr>
      <w:r>
        <w:rPr>
          <w:b/>
          <w:bCs/>
        </w:rPr>
        <w:t xml:space="preserve">establishes:</w:t>
      </w:r>
      <w:r>
        <w:t xml:space="preserve"> </w:t>
      </w:r>
      <w:r>
        <w:t xml:space="preserve">An analogical discipline for constructive synthesis that conserves principles and prior achievements while clarifying tensions.</w:t>
      </w:r>
    </w:p>
    <w:p>
      <w:pPr>
        <w:pStyle w:val="BodyText"/>
      </w:pPr>
      <w:r>
        <w:rPr>
          <w:b/>
          <w:bCs/>
        </w:rPr>
        <w:t xml:space="preserve">limit:</w:t>
      </w:r>
      <w:r>
        <w:t xml:space="preserve"> </w:t>
      </w:r>
      <w:r>
        <w:t xml:space="preserve">Not an ecclesial certification, proof of new metaphysical premises, or license to harmonize contradiction. A new page cannot already demonstrate chronic historical vigour.</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Heading1"/>
      </w:pPr>
      <w:r>
        <w:t xml:space="preserve">Appendix E — reading-guide.md</w:t>
      </w:r>
    </w:p>
    <w:p>
      <w:pPr>
        <w:pStyle w:val="FirstParagraph"/>
      </w:pPr>
      <w:r>
        <w:t xml:space="preserve">Original research file: https:/​/​participation-​6o4.​pages.​dev/​research/​reading-​guide.​md</w:t>
      </w:r>
    </w:p>
    <w:bookmarkStart w:id="432" w:name="X76bbf5d6b7569961a0062f67039635a63138a29"/>
    <w:p>
      <w:pPr>
        <w:pStyle w:val="Heading2"/>
      </w:pPr>
      <w:r>
        <w:t xml:space="preserve">Reading the three investigations together</w:t>
      </w:r>
    </w:p>
    <w:p>
      <w:pPr>
        <w:pStyle w:val="FirstParagraph"/>
      </w:pPr>
      <w:r>
        <w:t xml:space="preserve">Revision: October 14, 2026.</w:t>
      </w:r>
    </w:p>
    <w:p>
      <w:pPr>
        <w:pStyle w:val="BodyText"/>
      </w:pPr>
      <w:r>
        <w:t xml:space="preserve">The three pages investigate a single problem in stages. How can created actuality come from God and genuinely belong to the creature? What further principles would establish simplicity, free creation, and non-receptive knowledge? How could that freedom have determinate intentional content while sustaining real creaturely action and fulfillment?</w:t>
      </w:r>
    </w:p>
    <w:p>
      <w:pPr>
        <w:pStyle w:val="BodyText"/>
      </w:pPr>
      <w:r>
        <w:t xml:space="preserve">The revision draws on the supplied</w:t>
      </w:r>
      <w:r>
        <w:t xml:space="preserve"> </w:t>
      </w:r>
      <w:r>
        <w:rPr>
          <w:i/>
          <w:iCs/>
        </w:rPr>
        <w:t xml:space="preserve">Being-First and Measured Manifestation: Definitive Synthetic Edition</w:t>
      </w:r>
      <w:r>
        <w:t xml:space="preserve"> </w:t>
      </w:r>
      <w:r>
        <w:t xml:space="preserve">and</w:t>
      </w:r>
      <w:r>
        <w:t xml:space="preserve"> </w:t>
      </w:r>
      <w:r>
        <w:rPr>
          <w:i/>
          <w:iCs/>
        </w:rPr>
        <w:t xml:space="preserve">Working Philosophical Toolkit: Final</w:t>
      </w:r>
      <w:r>
        <w:t xml:space="preserve">. These are constructive source manuscripts for this project. Using them does not convert their proposals into historical testimony or independently established metaphysical theorems. The existing source ledgers retain their consultation and edition qualifications.</w:t>
      </w:r>
    </w:p>
    <w:bookmarkStart w:id="425" w:name="five-recurring-questions"/>
    <w:p>
      <w:pPr>
        <w:pStyle w:val="Heading3"/>
      </w:pPr>
      <w:r>
        <w:t xml:space="preserve">Five recurring questions</w:t>
      </w:r>
    </w:p>
    <w:p>
      <w:pPr>
        <w:pStyle w:val="Compact"/>
        <w:numPr>
          <w:ilvl w:val="0"/>
          <w:numId w:val="1061"/>
        </w:numPr>
      </w:pPr>
      <w:r>
        <w:rPr>
          <w:b/>
          <w:bCs/>
        </w:rPr>
        <w:t xml:space="preserve">Reality:</w:t>
      </w:r>
      <w:r>
        <w:t xml:space="preserve"> </w:t>
      </w:r>
      <w:r>
        <w:t xml:space="preserve">What differs, what realizes that difference, and what makes the subject one?</w:t>
      </w:r>
    </w:p>
    <w:p>
      <w:pPr>
        <w:pStyle w:val="Compact"/>
        <w:numPr>
          <w:ilvl w:val="0"/>
          <w:numId w:val="1061"/>
        </w:numPr>
      </w:pPr>
      <w:r>
        <w:rPr>
          <w:b/>
          <w:bCs/>
        </w:rPr>
        <w:t xml:space="preserve">Explanation:</w:t>
      </w:r>
      <w:r>
        <w:t xml:space="preserve"> </w:t>
      </w:r>
      <w:r>
        <w:t xml:space="preserve">What explains what, through which relation and in which respect?</w:t>
      </w:r>
    </w:p>
    <w:p>
      <w:pPr>
        <w:pStyle w:val="Compact"/>
        <w:numPr>
          <w:ilvl w:val="0"/>
          <w:numId w:val="1061"/>
        </w:numPr>
      </w:pPr>
      <w:r>
        <w:rPr>
          <w:b/>
          <w:bCs/>
        </w:rPr>
        <w:t xml:space="preserve">Possibility and agency:</w:t>
      </w:r>
      <w:r>
        <w:t xml:space="preserve"> </w:t>
      </w:r>
      <w:r>
        <w:t xml:space="preserve">What could genuinely differ, what makes alternatives fitting, and who directs the actual action?</w:t>
      </w:r>
    </w:p>
    <w:p>
      <w:pPr>
        <w:pStyle w:val="Compact"/>
        <w:numPr>
          <w:ilvl w:val="0"/>
          <w:numId w:val="1061"/>
        </w:numPr>
      </w:pPr>
      <w:r>
        <w:rPr>
          <w:b/>
          <w:bCs/>
        </w:rPr>
        <w:t xml:space="preserve">Disclosure:</w:t>
      </w:r>
      <w:r>
        <w:t xml:space="preserve"> </w:t>
      </w:r>
      <w:r>
        <w:t xml:space="preserve">What is expressed, what warrants knowledge of it, and how far does that warrant extend?</w:t>
      </w:r>
    </w:p>
    <w:p>
      <w:pPr>
        <w:pStyle w:val="Compact"/>
        <w:numPr>
          <w:ilvl w:val="0"/>
          <w:numId w:val="1061"/>
        </w:numPr>
      </w:pPr>
      <w:r>
        <w:rPr>
          <w:b/>
          <w:bCs/>
        </w:rPr>
        <w:t xml:space="preserve">Fulfillment:</w:t>
      </w:r>
      <w:r>
        <w:t xml:space="preserve"> </w:t>
      </w:r>
      <w:r>
        <w:t xml:space="preserve">What good is appropriate to the subject, what impedes it, and what would perfect it?</w:t>
      </w:r>
    </w:p>
    <w:p>
      <w:pPr>
        <w:pStyle w:val="FirstParagraph"/>
      </w:pPr>
      <w:r>
        <w:t xml:space="preserve">These are useful analytical jobs, not five demonstrated ontological primitives. The five families of symbols in Part I have a different purpose: they retain information needed by one conditional formal reconstruction. Sharing the number five establishes no identity between the toolkit and that model.</w:t>
      </w:r>
    </w:p>
    <w:p>
      <w:pPr>
        <w:pStyle w:val="BodyText"/>
      </w:pPr>
      <w:r>
        <w:t xml:space="preserve">Keep the relation, respect, modal force, and warrant explicit. Causation, constitution, dependence, truthmaking, cognitive access, and intentional direction are different explanatory relations unless an argument establishes their reduction.</w:t>
      </w:r>
    </w:p>
    <w:bookmarkEnd w:id="425"/>
    <w:bookmarkStart w:id="426" w:name="participation-connects-the-questions"/>
    <w:p>
      <w:pPr>
        <w:pStyle w:val="Heading3"/>
      </w:pPr>
      <w:r>
        <w:t xml:space="preserve">Participation connects the questions</w:t>
      </w:r>
    </w:p>
    <w:p>
      <w:pPr>
        <w:pStyle w:val="FirstParagraph"/>
      </w:pPr>
      <w:r>
        <w:t xml:space="preserve">Participation is real, dependent possession of received actuality or perfection according to the participant’s mode. Identify the recipient, what it possesses, its source, its mode, and the dependence. Receiving actuality does not turn the recipient into an appearance. Genuine possession does not make it independent.</w:t>
      </w:r>
    </w:p>
    <w:p>
      <w:pPr>
        <w:pStyle w:val="BodyText"/>
      </w:pPr>
      <w:r>
        <w:t xml:space="preserve">Expression, agency, and finality require additional bridges. A received power can remain unexercised. An actual likeness can remain unrecognized. A subject’s origin does not by itself establish its fitting end. The added principles explain how participation can become productive action, warranted disclosure, and fulfillment without building those conclusions into its definition.</w:t>
      </w:r>
    </w:p>
    <w:bookmarkEnd w:id="426"/>
    <w:bookmarkStart w:id="427" w:name="the-major-passages-and-their-burdens"/>
    <w:p>
      <w:pPr>
        <w:pStyle w:val="Heading3"/>
      </w:pPr>
      <w:r>
        <w:t xml:space="preserve">The major passages and their burdens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Passage</w:t>
            </w:r>
          </w:p>
        </w:tc>
        <w:tc>
          <w:tcPr>
            <w:tcW w:type="dxa" w:w="2749"/>
            <w:shd w:fill="EAE5DA"/>
          </w:tcPr>
          <w:p>
            <w:pPr>
              <w:pStyle w:val="BodyText"/>
              <w:keepNext w:val="0"/>
              <w:spacing w:after="80" w:line="252" w:lineRule="auto"/>
              <w:jc w:val="left"/>
            </w:pPr>
            <w:r>
              <w:rPr>
                <w:rFonts w:ascii="Calibri" w:hAnsi="Calibri"/>
                <w:b/>
                <w:sz w:val="17"/>
              </w:rPr>
              <w:t xml:space="preserve">Positive explanation</w:t>
            </w:r>
          </w:p>
        </w:tc>
        <w:tc>
          <w:tcPr>
            <w:tcW w:type="dxa" w:w="2749"/>
            <w:shd w:fill="EAE5DA"/>
          </w:tcPr>
          <w:p>
            <w:pPr>
              <w:pStyle w:val="BodyText"/>
              <w:keepNext w:val="0"/>
              <w:spacing w:after="80" w:line="252" w:lineRule="auto"/>
              <w:jc w:val="left"/>
            </w:pPr>
            <w:r>
              <w:rPr>
                <w:rFonts w:ascii="Calibri" w:hAnsi="Calibri"/>
                <w:b/>
                <w:sz w:val="17"/>
              </w:rPr>
              <w:t xml:space="preserve">Indispensable addition</w:t>
            </w:r>
          </w:p>
        </w:tc>
        <w:tc>
          <w:tcPr>
            <w:tcW w:type="dxa" w:w="2749"/>
            <w:shd w:fill="EAE5DA"/>
          </w:tcPr>
          <w:p>
            <w:pPr>
              <w:pStyle w:val="BodyText"/>
              <w:keepNext w:val="0"/>
              <w:spacing w:after="80" w:line="252" w:lineRule="auto"/>
              <w:jc w:val="left"/>
            </w:pPr>
            <w:r>
              <w:rPr>
                <w:rFonts w:ascii="Calibri" w:hAnsi="Calibri"/>
                <w:b/>
                <w:sz w:val="17"/>
              </w:rPr>
              <w:t xml:space="preserve">Strong rival or remaining burden</w:t>
            </w:r>
          </w:p>
        </w:tc>
      </w:tr>
      <w:tr>
        <w:tc>
          <w:tcPr>
            <w:tcW w:type="dxa" w:w="1689"/>
          </w:tcPr>
          <w:p>
            <w:pPr>
              <w:pStyle w:val="BodyText"/>
              <w:keepNext w:val="0"/>
              <w:spacing w:after="80" w:line="252" w:lineRule="auto"/>
              <w:jc w:val="left"/>
            </w:pPr>
            <w:r>
              <w:rPr>
                <w:rFonts w:ascii="Calibri" w:hAnsi="Calibri"/>
                <w:sz w:val="17"/>
              </w:rPr>
              <w:t xml:space="preserve">Received actuality → creaturely possession</w:t>
            </w:r>
          </w:p>
        </w:tc>
        <w:tc>
          <w:tcPr>
            <w:tcW w:type="dxa" w:w="2749"/>
          </w:tcPr>
          <w:p>
            <w:pPr>
              <w:pStyle w:val="BodyText"/>
              <w:keepNext w:val="0"/>
              <w:spacing w:after="80" w:line="252" w:lineRule="auto"/>
              <w:jc w:val="left"/>
            </w:pPr>
            <w:r>
              <w:rPr>
                <w:rFonts w:ascii="Calibri" w:hAnsi="Calibri"/>
                <w:sz w:val="17"/>
              </w:rPr>
              <w:t xml:space="preserve">The perfection is actual in the recipient; dependence concerns its source.</w:t>
            </w:r>
          </w:p>
        </w:tc>
        <w:tc>
          <w:tcPr>
            <w:tcW w:type="dxa" w:w="2749"/>
          </w:tcPr>
          <w:p>
            <w:pPr>
              <w:pStyle w:val="BodyText"/>
              <w:keepNext w:val="0"/>
              <w:spacing w:after="80" w:line="252" w:lineRule="auto"/>
              <w:jc w:val="left"/>
            </w:pPr>
            <w:r>
              <w:rPr>
                <w:rFonts w:ascii="Calibri" w:hAnsi="Calibri"/>
                <w:sz w:val="17"/>
              </w:rPr>
              <w:t xml:space="preserve">A realist account of realization and the stated causal-dependence bridge.</w:t>
            </w:r>
          </w:p>
        </w:tc>
        <w:tc>
          <w:tcPr>
            <w:tcW w:type="dxa" w:w="2749"/>
          </w:tcPr>
          <w:p>
            <w:pPr>
              <w:pStyle w:val="BodyText"/>
              <w:keepNext w:val="0"/>
              <w:spacing w:after="80" w:line="252" w:lineRule="auto"/>
              <w:jc w:val="left"/>
            </w:pPr>
            <w:r>
              <w:rPr>
                <w:rFonts w:ascii="Calibri" w:hAnsi="Calibri"/>
                <w:sz w:val="17"/>
              </w:rPr>
              <w:t xml:space="preserve">An ontology in which creatures are merely appearances rather than distinct bearers.</w:t>
            </w:r>
          </w:p>
        </w:tc>
      </w:tr>
      <w:tr>
        <w:tc>
          <w:tcPr>
            <w:tcW w:type="dxa" w:w="1689"/>
          </w:tcPr>
          <w:p>
            <w:pPr>
              <w:pStyle w:val="BodyText"/>
              <w:keepNext w:val="0"/>
              <w:spacing w:after="80" w:line="252" w:lineRule="auto"/>
              <w:jc w:val="left"/>
            </w:pPr>
            <w:r>
              <w:rPr>
                <w:rFonts w:ascii="Calibri" w:hAnsi="Calibri"/>
                <w:sz w:val="17"/>
              </w:rPr>
              <w:t xml:space="preserve">Causation → expressive likeness</w:t>
            </w:r>
          </w:p>
        </w:tc>
        <w:tc>
          <w:tcPr>
            <w:tcW w:type="dxa" w:w="2749"/>
          </w:tcPr>
          <w:p>
            <w:pPr>
              <w:pStyle w:val="BodyText"/>
              <w:keepNext w:val="0"/>
              <w:spacing w:after="80" w:line="252" w:lineRule="auto"/>
              <w:jc w:val="left"/>
            </w:pPr>
            <w:r>
              <w:rPr>
                <w:rFonts w:ascii="Calibri" w:hAnsi="Calibri"/>
                <w:sz w:val="17"/>
              </w:rPr>
              <w:t xml:space="preserve">The effect’s intelligible formation corresponds to positive content in its ultimate source.</w:t>
            </w:r>
          </w:p>
        </w:tc>
        <w:tc>
          <w:tcPr>
            <w:tcW w:type="dxa" w:w="2749"/>
          </w:tcPr>
          <w:p>
            <w:pPr>
              <w:pStyle w:val="BodyText"/>
              <w:keepNext w:val="0"/>
              <w:spacing w:after="80" w:line="252" w:lineRule="auto"/>
              <w:jc w:val="left"/>
            </w:pPr>
            <w:r>
              <w:rPr>
                <w:rFonts w:ascii="Calibri" w:hAnsi="Calibri"/>
                <w:sz w:val="17"/>
              </w:rPr>
              <w:t xml:space="preserve">Causal adequacy for independently identified perfection-content; exemplarism offers a richer account.</w:t>
            </w:r>
          </w:p>
        </w:tc>
        <w:tc>
          <w:tcPr>
            <w:tcW w:type="dxa" w:w="2749"/>
          </w:tcPr>
          <w:p>
            <w:pPr>
              <w:pStyle w:val="BodyText"/>
              <w:keepNext w:val="0"/>
              <w:spacing w:after="80" w:line="252" w:lineRule="auto"/>
              <w:jc w:val="left"/>
            </w:pPr>
            <w:r>
              <w:rPr>
                <w:rFonts w:ascii="Calibri" w:hAnsi="Calibri"/>
                <w:sz w:val="17"/>
              </w:rPr>
              <w:t xml:space="preserve">A productive source that causes cognition without intrinsically understanding.</w:t>
            </w:r>
          </w:p>
        </w:tc>
      </w:tr>
      <w:tr>
        <w:tc>
          <w:tcPr>
            <w:tcW w:type="dxa" w:w="1689"/>
          </w:tcPr>
          <w:p>
            <w:pPr>
              <w:pStyle w:val="BodyText"/>
              <w:keepNext w:val="0"/>
              <w:spacing w:after="80" w:line="252" w:lineRule="auto"/>
              <w:jc w:val="left"/>
            </w:pPr>
            <w:r>
              <w:rPr>
                <w:rFonts w:ascii="Calibri" w:hAnsi="Calibri"/>
                <w:sz w:val="17"/>
              </w:rPr>
              <w:t xml:space="preserve">Underivation → noncomposition</w:t>
            </w:r>
          </w:p>
        </w:tc>
        <w:tc>
          <w:tcPr>
            <w:tcW w:type="dxa" w:w="2749"/>
          </w:tcPr>
          <w:p>
            <w:pPr>
              <w:pStyle w:val="BodyText"/>
              <w:keepNext w:val="0"/>
              <w:spacing w:after="80" w:line="252" w:lineRule="auto"/>
              <w:jc w:val="left"/>
            </w:pPr>
            <w:r>
              <w:rPr>
                <w:rFonts w:ascii="Calibri" w:hAnsi="Calibri"/>
                <w:sz w:val="17"/>
              </w:rPr>
              <w:t xml:space="preserve">A whole cannot be absolutely underived if its constituents explain the actuality of that whole.</w:t>
            </w:r>
          </w:p>
        </w:tc>
        <w:tc>
          <w:tcPr>
            <w:tcW w:type="dxa" w:w="2749"/>
          </w:tcPr>
          <w:p>
            <w:pPr>
              <w:pStyle w:val="BodyText"/>
              <w:keepNext w:val="0"/>
              <w:spacing w:after="80" w:line="252" w:lineRule="auto"/>
              <w:jc w:val="left"/>
            </w:pPr>
            <w:r>
              <w:rPr>
                <w:rFonts w:ascii="Calibri" w:hAnsi="Calibri"/>
                <w:sz w:val="17"/>
              </w:rPr>
              <w:t xml:space="preserve">The independently interpreted constitution–dependence principle.</w:t>
            </w:r>
          </w:p>
        </w:tc>
        <w:tc>
          <w:tcPr>
            <w:tcW w:type="dxa" w:w="2749"/>
          </w:tcPr>
          <w:p>
            <w:pPr>
              <w:pStyle w:val="BodyText"/>
              <w:keepNext w:val="0"/>
              <w:spacing w:after="80" w:line="252" w:lineRule="auto"/>
              <w:jc w:val="left"/>
            </w:pPr>
            <w:r>
              <w:rPr>
                <w:rFonts w:ascii="Calibri" w:hAnsi="Calibri"/>
                <w:sz w:val="17"/>
              </w:rPr>
              <w:t xml:space="preserve">Brute composite unity, or a whole-priority ontology denying that proper constituents ground the whole’s actuality.</w:t>
            </w:r>
          </w:p>
        </w:tc>
      </w:tr>
      <w:tr>
        <w:tc>
          <w:tcPr>
            <w:tcW w:type="dxa" w:w="1689"/>
          </w:tcPr>
          <w:p>
            <w:pPr>
              <w:pStyle w:val="BodyText"/>
              <w:keepNext w:val="0"/>
              <w:spacing w:after="80" w:line="252" w:lineRule="auto"/>
              <w:jc w:val="left"/>
            </w:pPr>
            <w:r>
              <w:rPr>
                <w:rFonts w:ascii="Calibri" w:hAnsi="Calibri"/>
                <w:sz w:val="17"/>
              </w:rPr>
              <w:t xml:space="preserve">Negative simplicity exclusions → positive plenitude</w:t>
            </w:r>
          </w:p>
        </w:tc>
        <w:tc>
          <w:tcPr>
            <w:tcW w:type="dxa" w:w="2749"/>
          </w:tcPr>
          <w:p>
            <w:pPr>
              <w:pStyle w:val="BodyText"/>
              <w:keepNext w:val="0"/>
              <w:spacing w:after="80" w:line="252" w:lineRule="auto"/>
              <w:jc w:val="left"/>
            </w:pPr>
            <w:r>
              <w:rPr>
                <w:rFonts w:ascii="Calibri" w:hAnsi="Calibri"/>
                <w:sz w:val="17"/>
              </w:rPr>
              <w:t xml:space="preserve">An independently warranted perfection belongs without reception from a more basic actualizer.</w:t>
            </w:r>
          </w:p>
        </w:tc>
        <w:tc>
          <w:tcPr>
            <w:tcW w:type="dxa" w:w="2749"/>
          </w:tcPr>
          <w:p>
            <w:pPr>
              <w:pStyle w:val="BodyText"/>
              <w:keepNext w:val="0"/>
              <w:spacing w:after="80" w:line="252" w:lineRule="auto"/>
              <w:jc w:val="left"/>
            </w:pPr>
            <w:r>
              <w:rPr>
                <w:rFonts w:ascii="Calibri" w:hAnsi="Calibri"/>
                <w:sz w:val="17"/>
              </w:rPr>
              <w:t xml:space="preserve">Arguments establishing the positive perfections themselves.</w:t>
            </w:r>
          </w:p>
        </w:tc>
        <w:tc>
          <w:tcPr>
            <w:tcW w:type="dxa" w:w="2749"/>
          </w:tcPr>
          <w:p>
            <w:pPr>
              <w:pStyle w:val="BodyText"/>
              <w:keepNext w:val="0"/>
              <w:spacing w:after="80" w:line="252" w:lineRule="auto"/>
              <w:jc w:val="left"/>
            </w:pPr>
            <w:r>
              <w:rPr>
                <w:rFonts w:ascii="Calibri" w:hAnsi="Calibri"/>
                <w:sz w:val="17"/>
              </w:rPr>
              <w:t xml:space="preserve">A noncomposite but insufficiently characterized source.</w:t>
            </w:r>
          </w:p>
        </w:tc>
      </w:tr>
      <w:tr>
        <w:tc>
          <w:tcPr>
            <w:tcW w:type="dxa" w:w="1689"/>
          </w:tcPr>
          <w:p>
            <w:pPr>
              <w:pStyle w:val="BodyText"/>
              <w:keepNext w:val="0"/>
              <w:spacing w:after="80" w:line="252" w:lineRule="auto"/>
              <w:jc w:val="left"/>
            </w:pPr>
            <w:r>
              <w:rPr>
                <w:rFonts w:ascii="Calibri" w:hAnsi="Calibri"/>
                <w:sz w:val="17"/>
              </w:rPr>
              <w:t xml:space="preserve">Non-exhaustion → free creation</w:t>
            </w:r>
          </w:p>
        </w:tc>
        <w:tc>
          <w:tcPr>
            <w:tcW w:type="dxa" w:w="2749"/>
          </w:tcPr>
          <w:p>
            <w:pPr>
              <w:pStyle w:val="BodyText"/>
              <w:keepNext w:val="0"/>
              <w:spacing w:after="80" w:line="252" w:lineRule="auto"/>
              <w:jc w:val="left"/>
            </w:pPr>
            <w:r>
              <w:rPr>
                <w:rFonts w:ascii="Calibri" w:hAnsi="Calibri"/>
                <w:sz w:val="17"/>
              </w:rPr>
              <w:t xml:space="preserve">Complete goodness can be expressed without being repaired or completed by expression.</w:t>
            </w:r>
          </w:p>
        </w:tc>
        <w:tc>
          <w:tcPr>
            <w:tcW w:type="dxa" w:w="2749"/>
          </w:tcPr>
          <w:p>
            <w:pPr>
              <w:pStyle w:val="BodyText"/>
              <w:keepNext w:val="0"/>
              <w:spacing w:after="80" w:line="252" w:lineRule="auto"/>
              <w:jc w:val="left"/>
            </w:pPr>
            <w:r>
              <w:rPr>
                <w:rFonts w:ascii="Calibri" w:hAnsi="Calibri"/>
                <w:sz w:val="17"/>
              </w:rPr>
              <w:t xml:space="preserve">Genuine alternatives, rational agency, and voluntary control.</w:t>
            </w:r>
          </w:p>
        </w:tc>
        <w:tc>
          <w:tcPr>
            <w:tcW w:type="dxa" w:w="2749"/>
          </w:tcPr>
          <w:p>
            <w:pPr>
              <w:pStyle w:val="BodyText"/>
              <w:keepNext w:val="0"/>
              <w:spacing w:after="80" w:line="252" w:lineRule="auto"/>
              <w:jc w:val="left"/>
            </w:pPr>
            <w:r>
              <w:rPr>
                <w:rFonts w:ascii="Calibri" w:hAnsi="Calibri"/>
                <w:sz w:val="17"/>
              </w:rPr>
              <w:t xml:space="preserve">An inexhaustible source that necessarily produces one finite world.</w:t>
            </w:r>
          </w:p>
        </w:tc>
      </w:tr>
      <w:tr>
        <w:tc>
          <w:tcPr>
            <w:tcW w:type="dxa" w:w="1689"/>
          </w:tcPr>
          <w:p>
            <w:pPr>
              <w:pStyle w:val="BodyText"/>
              <w:keepNext w:val="0"/>
              <w:spacing w:after="80" w:line="252" w:lineRule="auto"/>
              <w:jc w:val="left"/>
            </w:pPr>
            <w:r>
              <w:rPr>
                <w:rFonts w:ascii="Calibri" w:hAnsi="Calibri"/>
                <w:sz w:val="17"/>
              </w:rPr>
              <w:t xml:space="preserve">Invariant intrinsic actuality → determinate intention</w:t>
            </w:r>
          </w:p>
        </w:tc>
        <w:tc>
          <w:tcPr>
            <w:tcW w:type="dxa" w:w="2749"/>
          </w:tcPr>
          <w:p>
            <w:pPr>
              <w:pStyle w:val="BodyText"/>
              <w:keepNext w:val="0"/>
              <w:spacing w:after="80" w:line="252" w:lineRule="auto"/>
              <w:jc w:val="left"/>
            </w:pPr>
            <w:r>
              <w:rPr>
                <w:rFonts w:ascii="Calibri" w:hAnsi="Calibri"/>
                <w:sz w:val="17"/>
              </w:rPr>
              <w:t xml:space="preserve">The proposed difference belongs to the complete intentional action toward understood content.</w:t>
            </w:r>
          </w:p>
        </w:tc>
        <w:tc>
          <w:tcPr>
            <w:tcW w:type="dxa" w:w="2749"/>
          </w:tcPr>
          <w:p>
            <w:pPr>
              <w:pStyle w:val="BodyText"/>
              <w:keepNext w:val="0"/>
              <w:spacing w:after="80" w:line="252" w:lineRule="auto"/>
              <w:jc w:val="left"/>
            </w:pPr>
            <w:r>
              <w:rPr>
                <w:rFonts w:ascii="Calibri" w:hAnsi="Calibri"/>
                <w:sz w:val="17"/>
              </w:rPr>
              <w:t xml:space="preserve">A defended relational ontology of actual intentional direction.</w:t>
            </w:r>
          </w:p>
        </w:tc>
        <w:tc>
          <w:tcPr>
            <w:tcW w:type="dxa" w:w="2749"/>
          </w:tcPr>
          <w:p>
            <w:pPr>
              <w:pStyle w:val="BodyText"/>
              <w:keepNext w:val="0"/>
              <w:spacing w:after="80" w:line="252" w:lineRule="auto"/>
              <w:jc w:val="left"/>
            </w:pPr>
            <w:r>
              <w:rPr>
                <w:rFonts w:ascii="Calibri" w:hAnsi="Calibri"/>
                <w:sz w:val="17"/>
              </w:rPr>
              <w:t xml:space="preserve">Different intrinsic intentions across alternatives without parts or temporal acquisition.</w:t>
            </w:r>
          </w:p>
        </w:tc>
      </w:tr>
      <w:tr>
        <w:tc>
          <w:tcPr>
            <w:tcW w:type="dxa" w:w="1689"/>
          </w:tcPr>
          <w:p>
            <w:pPr>
              <w:pStyle w:val="BodyText"/>
              <w:keepNext w:val="0"/>
              <w:spacing w:after="80" w:line="252" w:lineRule="auto"/>
              <w:jc w:val="left"/>
            </w:pPr>
            <w:r>
              <w:rPr>
                <w:rFonts w:ascii="Calibri" w:hAnsi="Calibri"/>
                <w:sz w:val="17"/>
              </w:rPr>
              <w:t xml:space="preserve">Intelligent production → knowledge of its effect</w:t>
            </w:r>
          </w:p>
        </w:tc>
        <w:tc>
          <w:tcPr>
            <w:tcW w:type="dxa" w:w="2749"/>
          </w:tcPr>
          <w:p>
            <w:pPr>
              <w:pStyle w:val="BodyText"/>
              <w:keepNext w:val="0"/>
              <w:spacing w:after="80" w:line="252" w:lineRule="auto"/>
              <w:jc w:val="left"/>
            </w:pPr>
            <w:r>
              <w:rPr>
                <w:rFonts w:ascii="Calibri" w:hAnsi="Calibri"/>
                <w:sz w:val="17"/>
              </w:rPr>
              <w:t xml:space="preserve">Awareness of actual execution and its assured efficacy discloses what that execution produces.</w:t>
            </w:r>
          </w:p>
        </w:tc>
        <w:tc>
          <w:tcPr>
            <w:tcW w:type="dxa" w:w="2749"/>
          </w:tcPr>
          <w:p>
            <w:pPr>
              <w:pStyle w:val="BodyText"/>
              <w:keepNext w:val="0"/>
              <w:spacing w:after="80" w:line="252" w:lineRule="auto"/>
              <w:jc w:val="left"/>
            </w:pPr>
            <w:r>
              <w:rPr>
                <w:rFonts w:ascii="Calibri" w:hAnsi="Calibri"/>
                <w:sz w:val="17"/>
              </w:rPr>
              <w:t xml:space="preserve">Adequate, warranted, non-receptive awareness of the actual action.</w:t>
            </w:r>
          </w:p>
        </w:tc>
        <w:tc>
          <w:tcPr>
            <w:tcW w:type="dxa" w:w="2749"/>
          </w:tcPr>
          <w:p>
            <w:pPr>
              <w:pStyle w:val="BodyText"/>
              <w:keepNext w:val="0"/>
              <w:spacing w:after="80" w:line="252" w:lineRule="auto"/>
              <w:jc w:val="left"/>
            </w:pPr>
            <w:r>
              <w:rPr>
                <w:rFonts w:ascii="Calibri" w:hAnsi="Calibri"/>
                <w:sz w:val="17"/>
              </w:rPr>
              <w:t xml:space="preserve">Knowing every possible plan without knowing which action actually occurs.</w:t>
            </w:r>
          </w:p>
        </w:tc>
      </w:tr>
      <w:tr>
        <w:tc>
          <w:tcPr>
            <w:tcW w:type="dxa" w:w="1689"/>
          </w:tcPr>
          <w:p>
            <w:pPr>
              <w:pStyle w:val="BodyText"/>
              <w:keepNext w:val="0"/>
              <w:spacing w:after="80" w:line="252" w:lineRule="auto"/>
              <w:jc w:val="left"/>
            </w:pPr>
            <w:r>
              <w:rPr>
                <w:rFonts w:ascii="Calibri" w:hAnsi="Calibri"/>
                <w:sz w:val="17"/>
              </w:rPr>
              <w:t xml:space="preserve">Sustained power → secondary agency</w:t>
            </w:r>
          </w:p>
        </w:tc>
        <w:tc>
          <w:tcPr>
            <w:tcW w:type="dxa" w:w="2749"/>
          </w:tcPr>
          <w:p>
            <w:pPr>
              <w:pStyle w:val="BodyText"/>
              <w:keepNext w:val="0"/>
              <w:spacing w:after="80" w:line="252" w:lineRule="auto"/>
              <w:jc w:val="left"/>
            </w:pPr>
            <w:r>
              <w:rPr>
                <w:rFonts w:ascii="Calibri" w:hAnsi="Calibri"/>
                <w:sz w:val="17"/>
              </w:rPr>
              <w:t xml:space="preserve">A creature exercises a productive power that remains dependent on its source.</w:t>
            </w:r>
          </w:p>
        </w:tc>
        <w:tc>
          <w:tcPr>
            <w:tcW w:type="dxa" w:w="2749"/>
          </w:tcPr>
          <w:p>
            <w:pPr>
              <w:pStyle w:val="BodyText"/>
              <w:keepNext w:val="0"/>
              <w:spacing w:after="80" w:line="252" w:lineRule="auto"/>
              <w:jc w:val="left"/>
            </w:pPr>
            <w:r>
              <w:rPr>
                <w:rFonts w:ascii="Calibri" w:hAnsi="Calibri"/>
                <w:sz w:val="17"/>
              </w:rPr>
              <w:t xml:space="preserve">The efficacy and authorship of the creature’s own exercise.</w:t>
            </w:r>
          </w:p>
        </w:tc>
        <w:tc>
          <w:tcPr>
            <w:tcW w:type="dxa" w:w="2749"/>
          </w:tcPr>
          <w:p>
            <w:pPr>
              <w:pStyle w:val="BodyText"/>
              <w:keepNext w:val="0"/>
              <w:spacing w:after="80" w:line="252" w:lineRule="auto"/>
              <w:jc w:val="left"/>
            </w:pPr>
            <w:r>
              <w:rPr>
                <w:rFonts w:ascii="Calibri" w:hAnsi="Calibri"/>
                <w:sz w:val="17"/>
              </w:rPr>
              <w:t xml:space="preserve">Occasionalism: divine support replaces creaturely production.</w:t>
            </w:r>
          </w:p>
        </w:tc>
      </w:tr>
      <w:tr>
        <w:tc>
          <w:tcPr>
            <w:tcW w:type="dxa" w:w="1689"/>
          </w:tcPr>
          <w:p>
            <w:pPr>
              <w:pStyle w:val="BodyText"/>
              <w:keepNext w:val="0"/>
              <w:spacing w:after="80" w:line="252" w:lineRule="auto"/>
              <w:jc w:val="left"/>
            </w:pPr>
            <w:r>
              <w:rPr>
                <w:rFonts w:ascii="Calibri" w:hAnsi="Calibri"/>
                <w:sz w:val="17"/>
              </w:rPr>
              <w:t xml:space="preserve">Causal presence → knowledge of permitted choices</w:t>
            </w:r>
          </w:p>
        </w:tc>
        <w:tc>
          <w:tcPr>
            <w:tcW w:type="dxa" w:w="2749"/>
          </w:tcPr>
          <w:p>
            <w:pPr>
              <w:pStyle w:val="BodyText"/>
              <w:keepNext w:val="0"/>
              <w:spacing w:after="80" w:line="252" w:lineRule="auto"/>
              <w:jc w:val="left"/>
            </w:pPr>
            <w:r>
              <w:rPr>
                <w:rFonts w:ascii="Calibri" w:hAnsi="Calibri"/>
                <w:sz w:val="17"/>
              </w:rPr>
              <w:t xml:space="preserve">The proposed source has cognitive access to the choice as actually exercised.</w:t>
            </w:r>
          </w:p>
        </w:tc>
        <w:tc>
          <w:tcPr>
            <w:tcW w:type="dxa" w:w="2749"/>
          </w:tcPr>
          <w:p>
            <w:pPr>
              <w:pStyle w:val="BodyText"/>
              <w:keepNext w:val="0"/>
              <w:spacing w:after="80" w:line="252" w:lineRule="auto"/>
              <w:jc w:val="left"/>
            </w:pPr>
            <w:r>
              <w:rPr>
                <w:rFonts w:ascii="Calibri" w:hAnsi="Calibri"/>
                <w:sz w:val="17"/>
              </w:rPr>
              <w:t xml:space="preserve">A positive account of non-receptive cognitive access; foreknowledge requires a further account of eternity or another defended basis.</w:t>
            </w:r>
          </w:p>
        </w:tc>
        <w:tc>
          <w:tcPr>
            <w:tcW w:type="dxa" w:w="2749"/>
          </w:tcPr>
          <w:p>
            <w:pPr>
              <w:pStyle w:val="BodyText"/>
              <w:keepNext w:val="0"/>
              <w:spacing w:after="80" w:line="252" w:lineRule="auto"/>
              <w:jc w:val="left"/>
            </w:pPr>
            <w:r>
              <w:rPr>
                <w:rFonts w:ascii="Calibri" w:hAnsi="Calibri"/>
                <w:sz w:val="17"/>
              </w:rPr>
              <w:t xml:space="preserve">Causal support without cognitive acquaintance; no complete omniscience follows merely from presence.</w:t>
            </w:r>
          </w:p>
        </w:tc>
      </w:tr>
      <w:tr>
        <w:tc>
          <w:tcPr>
            <w:tcW w:type="dxa" w:w="1689"/>
          </w:tcPr>
          <w:p>
            <w:pPr>
              <w:pStyle w:val="BodyText"/>
              <w:keepNext w:val="0"/>
              <w:spacing w:after="80" w:line="252" w:lineRule="auto"/>
              <w:jc w:val="left"/>
            </w:pPr>
            <w:r>
              <w:rPr>
                <w:rFonts w:ascii="Calibri" w:hAnsi="Calibri"/>
                <w:sz w:val="17"/>
              </w:rPr>
              <w:t xml:space="preserve">Participation → communion</w:t>
            </w:r>
          </w:p>
        </w:tc>
        <w:tc>
          <w:tcPr>
            <w:tcW w:type="dxa" w:w="2749"/>
          </w:tcPr>
          <w:p>
            <w:pPr>
              <w:pStyle w:val="BodyText"/>
              <w:keepNext w:val="0"/>
              <w:spacing w:after="80" w:line="252" w:lineRule="auto"/>
              <w:jc w:val="left"/>
            </w:pPr>
            <w:r>
              <w:rPr>
                <w:rFonts w:ascii="Calibri" w:hAnsi="Calibri"/>
                <w:sz w:val="17"/>
              </w:rPr>
              <w:t xml:space="preserve">Distinct persons genuinely know and love, rather than merely share a cause.</w:t>
            </w:r>
          </w:p>
        </w:tc>
        <w:tc>
          <w:tcPr>
            <w:tcW w:type="dxa" w:w="2749"/>
          </w:tcPr>
          <w:p>
            <w:pPr>
              <w:pStyle w:val="BodyText"/>
              <w:keepNext w:val="0"/>
              <w:spacing w:after="80" w:line="252" w:lineRule="auto"/>
              <w:jc w:val="left"/>
            </w:pPr>
            <w:r>
              <w:rPr>
                <w:rFonts w:ascii="Calibri" w:hAnsi="Calibri"/>
                <w:sz w:val="17"/>
              </w:rPr>
              <w:t xml:space="preserve">Personal capacities, fitting ends, and, for supernatural communion, revelation and grace.</w:t>
            </w:r>
          </w:p>
        </w:tc>
        <w:tc>
          <w:tcPr>
            <w:tcW w:type="dxa" w:w="2749"/>
          </w:tcPr>
          <w:p>
            <w:pPr>
              <w:pStyle w:val="BodyText"/>
              <w:keepNext w:val="0"/>
              <w:spacing w:after="80" w:line="252" w:lineRule="auto"/>
              <w:jc w:val="left"/>
            </w:pPr>
            <w:r>
              <w:rPr>
                <w:rFonts w:ascii="Calibri" w:hAnsi="Calibri"/>
                <w:sz w:val="17"/>
              </w:rPr>
              <w:t xml:space="preserve">Dependence without recognition, love, or personal fulfillment.</w:t>
            </w:r>
          </w:p>
        </w:tc>
      </w:tr>
    </w:tbl>
    <w:p>
      <w:pPr>
        <w:pStyle w:val="BodyText"/>
      </w:pPr>
      <w:r>
        <w:t xml:space="preserve">Nonconstitutive real distinctions remain outside the immediate scope of the noncomposition theorem. These are conditional arguments with identifiable work to do. A countermodel shows why a missing bridge matters; it does not show that every historical defense of that bridge fails. The computational witnesses test stated interpretations, not the philosophical truth of the whole ontology.</w:t>
      </w:r>
    </w:p>
    <w:bookmarkEnd w:id="427"/>
    <w:bookmarkStart w:id="428" w:name="a-concrete-test-for-finite-goods"/>
    <w:p>
      <w:pPr>
        <w:pStyle w:val="Heading3"/>
      </w:pPr>
      <w:r>
        <w:t xml:space="preserve">A concrete test for finite goods</w:t>
      </w:r>
    </w:p>
    <w:p>
      <w:pPr>
        <w:pStyle w:val="FirstParagraph"/>
      </w:pPr>
      <w:r>
        <w:t xml:space="preserve">Ask what happens when the alleged limitation is removed.</w:t>
      </w:r>
    </w:p>
    <w:p>
      <w:pPr>
        <w:pStyle w:val="Compact"/>
        <w:numPr>
          <w:ilvl w:val="0"/>
          <w:numId w:val="1062"/>
        </w:numPr>
      </w:pPr>
      <w:r>
        <w:rPr>
          <w:b/>
          <w:bCs/>
        </w:rPr>
        <w:t xml:space="preserve">Privation:</w:t>
      </w:r>
      <w:r>
        <w:t xml:space="preserve"> </w:t>
      </w:r>
      <w:r>
        <w:t xml:space="preserve">removing ignorance improves understanding.</w:t>
      </w:r>
    </w:p>
    <w:p>
      <w:pPr>
        <w:pStyle w:val="Compact"/>
        <w:numPr>
          <w:ilvl w:val="0"/>
          <w:numId w:val="1062"/>
        </w:numPr>
      </w:pPr>
      <w:r>
        <w:rPr>
          <w:b/>
          <w:bCs/>
        </w:rPr>
        <w:t xml:space="preserve">Constitutive finite condition:</w:t>
      </w:r>
      <w:r>
        <w:t xml:space="preserve"> </w:t>
      </w:r>
      <w:r>
        <w:t xml:space="preserve">removing succession abolishes a melody rather than producing the same melody more perfectly.</w:t>
      </w:r>
    </w:p>
    <w:p>
      <w:pPr>
        <w:pStyle w:val="Compact"/>
        <w:numPr>
          <w:ilvl w:val="0"/>
          <w:numId w:val="1062"/>
        </w:numPr>
      </w:pPr>
      <w:r>
        <w:rPr>
          <w:b/>
          <w:bCs/>
        </w:rPr>
        <w:t xml:space="preserve">Adverse occasion:</w:t>
      </w:r>
      <w:r>
        <w:t xml:space="preserve"> </w:t>
      </w:r>
      <w:r>
        <w:t xml:space="preserve">courage can be good in danger without making the danger good or justifying its manufacture.</w:t>
      </w:r>
    </w:p>
    <w:p>
      <w:pPr>
        <w:pStyle w:val="FirstParagraph"/>
      </w:pPr>
      <w:r>
        <w:t xml:space="preserve">This test supports positive analogy without transferring an entire creaturely mode into God. Grounding the good of learning does not require God to learn. It also protects moral seriousness: healing and forgiveness do not justify illness or injury. Fulfillment can remove defects while preserving the creature’s identity and particular goods.</w:t>
      </w:r>
    </w:p>
    <w:bookmarkEnd w:id="428"/>
    <w:bookmarkStart w:id="429" w:name="where-revelation-changes-the-warrant"/>
    <w:p>
      <w:pPr>
        <w:pStyle w:val="Heading3"/>
      </w:pPr>
      <w:r>
        <w:t xml:space="preserve">Where revelation changes the warrant</w:t>
      </w:r>
    </w:p>
    <w:p>
      <w:pPr>
        <w:pStyle w:val="FirstParagraph"/>
      </w:pPr>
      <w:r>
        <w:t xml:space="preserve">The natural grammar is preparatory. It does not discover the Trinity, the Incarnation, sacramental institution, grace, or beatific vision by manipulating its symbols. Revealed personal origins are not creaturely reception; the Son’s being from the Father does not make the divine essence received from a more basic actuality. The hypostatic union is not merely an intensified case of ordinary participation.</w:t>
      </w:r>
    </w:p>
    <w:p>
      <w:pPr>
        <w:pStyle w:val="BodyText"/>
      </w:pPr>
      <w:r>
        <w:t xml:space="preserve">The manuscript’s account of God as the All names plenitude considered as universal sourcehood, never God and creatures combined into a larger totality. It requires positive perfection and universal sourcehood as well as negative exclusions. The Pauline all-in-all is a further, revealed consummation. In 1 Corinthians 15:20–28, it belongs to resurrection, Christ’s reign, the defeat of death, and the kingdom handed to the Father. This contextual account follows the supplied manuscript; it is not a newly verified translation or a metaphysical deduction from six simplicity arguments. The verse alone does not settle universal salvation.</w:t>
      </w:r>
    </w:p>
    <w:p>
      <w:pPr>
        <w:pStyle w:val="BodyText"/>
      </w:pPr>
      <w:r>
        <w:t xml:space="preserve">The resulting positive thesis is:</w:t>
      </w:r>
      <w:r>
        <w:t xml:space="preserve"> </w:t>
      </w:r>
      <w:r>
        <w:rPr>
          <w:b/>
          <w:bCs/>
        </w:rPr>
        <w:t xml:space="preserve">creation can be fulfilled in God without completing God.</w:t>
      </w:r>
      <w:r>
        <w:t xml:space="preserve"> </w:t>
      </w:r>
      <w:r>
        <w:t xml:space="preserve">The creature’s transformation is real; divine fullness is not assembled from that transformation. Immediate communion need not become exhaustive comprehension or absorption.</w:t>
      </w:r>
    </w:p>
    <w:bookmarkEnd w:id="429"/>
    <w:bookmarkStart w:id="431" w:name="what-this-development-claims"/>
    <w:p>
      <w:pPr>
        <w:pStyle w:val="Heading3"/>
      </w:pPr>
      <w:r>
        <w:t xml:space="preserve">What this development claims</w:t>
      </w:r>
    </w:p>
    <w:p>
      <w:pPr>
        <w:pStyle w:val="FirstParagraph"/>
      </w:pPr>
      <w:r>
        <w:t xml:space="preserve">The contribution is a coordinated explanation of possession, origin, intention, disclosure, and fulfillment. It neither claims an earned seventh proof of simplicity nor introduces a new primitive under a new name. Its Newman-like development test asks whether the synthesis preserves doctrine’s governing type, conserves the earlier achievements, assimilates distinctions without hiding contradictions, and makes the sequence of arguments more intelligible. That is a methodological assessment, not ecclesial certification.</w:t>
      </w:r>
    </w:p>
    <w:p>
      <w:pPr>
        <w:pStyle w:val="BodyText"/>
      </w:pPr>
      <w:r>
        <w:t xml:space="preserve">For each significant conclusion, retain four lines: the proposed explanation; its indispensable bridge; the strongest surviving rival; what remains to be established. This permits a positive metaphysical proposal to have explanatory power without treating its promise as a completed demonstration.</w:t>
      </w:r>
    </w:p>
    <w:p>
      <w:pPr>
        <w:pStyle w:val="BodyText"/>
      </w:pPr>
      <w:r>
        <w:t xml:space="preserve">Read</w:t>
      </w:r>
      <w:r>
        <w:t xml:space="preserve"> </w:t>
      </w:r>
      <w:hyperlink r:id="rId58">
        <w:r>
          <w:rPr>
            <w:rStyle w:val="Hyperlink"/>
          </w:rPr>
          <w:t xml:space="preserve">Participation</w:t>
        </w:r>
      </w:hyperlink>
      <w:r>
        <w:t xml:space="preserve">,</w:t>
      </w:r>
      <w:r>
        <w:t xml:space="preserve"> </w:t>
      </w:r>
      <w:hyperlink r:id="rId59">
        <w:r>
          <w:rPr>
            <w:rStyle w:val="Hyperlink"/>
          </w:rPr>
          <w:t xml:space="preserve">Beyond Participation</w:t>
        </w:r>
      </w:hyperlink>
      <w:r>
        <w:t xml:space="preserve">, and</w:t>
      </w:r>
      <w:r>
        <w:t xml:space="preserve"> </w:t>
      </w:r>
      <w:hyperlink r:id="rId430">
        <w:r>
          <w:rPr>
            <w:rStyle w:val="Hyperlink"/>
          </w:rPr>
          <w:t xml:space="preserve">Divine Agency</w:t>
        </w:r>
      </w:hyperlink>
      <w:r>
        <w:t xml:space="preserve">.</w:t>
      </w:r>
    </w:p>
    <w:bookmarkEnd w:id="431"/>
    <w:bookmarkEnd w:id="432"/>
    <w:sectPr w:rsidR="00FC693F" w:rsidRPr="0006063C" w:rsidSect="00034616">
      <w:headerReference w:type="default" r:id="rId9"/>
      <w:footerReference w:type="default" r:id="rId10"/>
      <w:pgSz w:h="15840" w:w="12240"/>
      <w:pgMar w:bottom="1152" w:footer="432" w:gutter="0" w:header="432" w:left="1152" w:right="1152" w:top="1152"/>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Complete website backup · October 17, 2026  |  Page </w:t>
    </w:r>
    <w:r/>
    <w:fldSimple w:instr="PAGE"/>
    <w:r>
      <w:t xml:space="preserve"> of </w:t>
    </w:r>
    <w:r/>
    <w:fldSimple w:instr="NUMPAGES"/>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PARTICIPATION RESEARCH ATLAS  |  PART III</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40" w:line="276" w:lineRule="auto"/>
    </w:pPr>
    <w:rPr>
      <w:rFonts w:ascii="Cambria" w:hAnsi="Cambria"/>
      <w:color w:val="263432"/>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rPr>
      <w:rFonts w:ascii="Calibri" w:hAnsi="Calibri"/>
      <w:color w:val="64716B"/>
      <w:sz w:val="18"/>
    </w:r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rPr>
      <w:rFonts w:ascii="Calibri" w:hAnsi="Calibri"/>
      <w:color w:val="64716B"/>
      <w:sz w:val="18"/>
    </w:r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pageBreakBefore/>
      <w:spacing w:after="180" w:before="340"/>
      <w:outlineLvl w:val="0"/>
    </w:pPr>
    <w:rPr>
      <w:rFonts w:ascii="Georgia" w:asciiTheme="majorHAnsi" w:cstheme="majorBidi" w:eastAsiaTheme="majorEastAsia" w:hAnsi="Georgia" w:hAnsiTheme="majorHAnsi"/>
      <w:b/>
      <w:bCs/>
      <w:color w:val="223C3A"/>
      <w:sz w:val="40"/>
      <w:szCs w:val="28"/>
    </w:rPr>
  </w:style>
  <w:style w:styleId="Heading2" w:type="paragraph">
    <w:name w:val="heading 2"/>
    <w:basedOn w:val="Normal"/>
    <w:next w:val="Normal"/>
    <w:link w:val="Heading2Char"/>
    <w:uiPriority w:val="9"/>
    <w:unhideWhenUsed/>
    <w:qFormat/>
    <w:rsid w:val="00FC693F"/>
    <w:pPr>
      <w:keepNext/>
      <w:keepLines/>
      <w:spacing w:after="180" w:before="340"/>
      <w:outlineLvl w:val="1"/>
    </w:pPr>
    <w:rPr>
      <w:rFonts w:ascii="Georgia" w:asciiTheme="majorHAnsi" w:cstheme="majorBidi" w:eastAsiaTheme="majorEastAsia" w:hAnsi="Georgia" w:hAnsiTheme="majorHAnsi"/>
      <w:b/>
      <w:bCs/>
      <w:color w:val="223C3A"/>
      <w:sz w:val="30"/>
      <w:szCs w:val="26"/>
    </w:rPr>
  </w:style>
  <w:style w:styleId="Heading3" w:type="paragraph">
    <w:name w:val="heading 3"/>
    <w:basedOn w:val="Normal"/>
    <w:next w:val="Normal"/>
    <w:link w:val="Heading3Char"/>
    <w:uiPriority w:val="9"/>
    <w:unhideWhenUsed/>
    <w:qFormat/>
    <w:rsid w:val="00FC693F"/>
    <w:pPr>
      <w:keepNext/>
      <w:keepLines/>
      <w:spacing w:after="180" w:before="340"/>
      <w:outlineLvl w:val="2"/>
    </w:pPr>
    <w:rPr>
      <w:rFonts w:ascii="Georgia" w:asciiTheme="majorHAnsi" w:cstheme="majorBidi" w:eastAsiaTheme="majorEastAsia" w:hAnsi="Georgia" w:hAnsiTheme="majorHAnsi"/>
      <w:b/>
      <w:bCs/>
      <w:color w:val="223C3A"/>
      <w:sz w:val="24"/>
    </w:rPr>
  </w:style>
  <w:style w:styleId="Heading4" w:type="paragraph">
    <w:name w:val="heading 4"/>
    <w:basedOn w:val="Normal"/>
    <w:next w:val="Normal"/>
    <w:link w:val="Heading4Char"/>
    <w:uiPriority w:val="9"/>
    <w:semiHidden/>
    <w:unhideWhenUsed/>
    <w:qFormat/>
    <w:rsid w:val="00FC693F"/>
    <w:pPr>
      <w:keepNext/>
      <w:keepLines/>
      <w:spacing w:after="180" w:before="340"/>
      <w:outlineLvl w:val="3"/>
    </w:pPr>
    <w:rPr>
      <w:rFonts w:ascii="Georgia" w:asciiTheme="majorHAnsi" w:cstheme="majorBidi" w:eastAsiaTheme="majorEastAsia" w:hAnsi="Georgia" w:hAnsiTheme="majorHAnsi"/>
      <w:b/>
      <w:bCs/>
      <w:i/>
      <w:iCs/>
      <w:color w:val="223C3A"/>
      <w:sz w:val="22"/>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180" w:before="800" w:line="240" w:lineRule="auto"/>
      <w:contextualSpacing/>
    </w:pPr>
    <w:rPr>
      <w:rFonts w:ascii="Georgia" w:asciiTheme="majorHAnsi" w:cstheme="majorBidi" w:eastAsiaTheme="majorEastAsia" w:hAnsi="Georgia" w:hAnsiTheme="majorHAnsi"/>
      <w:color w:val="223C3A"/>
      <w:spacing w:val="5"/>
      <w:kern w:val="28"/>
      <w:sz w:val="58"/>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Cambria" w:asciiTheme="majorHAnsi" w:cstheme="majorBidi" w:eastAsiaTheme="majorEastAsia" w:hAnsi="Cambria" w:hAnsiTheme="majorHAnsi"/>
      <w:i/>
      <w:iCs/>
      <w:color w:val="9D593C"/>
      <w:spacing w:val="15"/>
      <w:sz w:val="30"/>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40" w:line="276" w:lineRule="auto"/>
    </w:pPr>
    <w:rPr>
      <w:rFonts w:ascii="Cambria" w:hAnsi="Cambria"/>
      <w:color w:val="263432"/>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ourceCode" w:type="paragraph">
    <w:name w:val="Source Code"/>
    <w:rPr>
      <w:rFonts w:ascii="DejaVu Sans Mono" w:hAnsi="DejaVu Sans Mono"/>
      <w:sz w:val="16"/>
    </w:rPr>
  </w:style>
  <w:style w:customStyle="1" w:styleId="VerbatimChar" w:type="character">
    <w:name w:val="Verbatim Char"/>
    <w:rPr>
      <w:rFonts w:ascii="DejaVu Sans Mono" w:hAnsi="DejaVu Sans Mono"/>
      <w:sz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143" Type="http://schemas.openxmlformats.org/officeDocument/2006/relationships/hyperlink" Target="https://ccel.org/ccel/rolt/dionysius/dionysius.iv.iii.html" TargetMode="External"/><Relationship Id="rId145" Type="http://schemas.openxmlformats.org/officeDocument/2006/relationships/hyperlink" Target="https://ccel.org/ccel/rolt/dionysius/dionysius.iv.vi.html" TargetMode="External"/><Relationship Id="rId80" Type="http://schemas.openxmlformats.org/officeDocument/2006/relationships/hyperlink" Target="https://ccel.org/ccel/rolt/dionysius/dionysius.iv.viii.html" TargetMode="External"/><Relationship Id="rId148" Type="http://schemas.openxmlformats.org/officeDocument/2006/relationships/hyperlink" Target="https://ccel.org/ccel/rolt/dionysius/dionysius.iv.x.html" TargetMode="External"/><Relationship Id="rId92" Type="http://schemas.openxmlformats.org/officeDocument/2006/relationships/hyperlink" Target="https://ccel.org/ccel/schaff/npnf207/npnf207.iii.xv.html" TargetMode="External"/><Relationship Id="rId191" Type="http://schemas.openxmlformats.org/officeDocument/2006/relationships/hyperlink" Target="https://doi.org/10.1177/00211400221144750" TargetMode="External"/><Relationship Id="rId58" Type="http://schemas.openxmlformats.org/officeDocument/2006/relationships/hyperlink" Target="https://participation-6o4.pages.dev/" TargetMode="External"/><Relationship Id="rId59" Type="http://schemas.openxmlformats.org/officeDocument/2006/relationships/hyperlink" Target="https://participation-6o4.pages.dev/beyond-participation/" TargetMode="External"/><Relationship Id="rId130" Type="http://schemas.openxmlformats.org/officeDocument/2006/relationships/hyperlink" Target="https://participation-6o4.pages.dev/beyond-participation/#knowledge" TargetMode="External"/><Relationship Id="rId54" Type="http://schemas.openxmlformats.org/officeDocument/2006/relationships/hyperlink" Target="https://participation-6o4.pages.dev/glossary/" TargetMode="External"/><Relationship Id="rId63" Type="http://schemas.openxmlformats.org/officeDocument/2006/relationships/hyperlink" Target="https://participation-6o4.pages.dev/glossary/#term-actuality" TargetMode="External"/><Relationship Id="rId20" Type="http://schemas.openxmlformats.org/officeDocument/2006/relationships/hyperlink" Target="https://participation-6o4.pages.dev/glossary/#term-agency" TargetMode="External"/><Relationship Id="rId79" Type="http://schemas.openxmlformats.org/officeDocument/2006/relationships/hyperlink" Target="https://participation-6o4.pages.dev/glossary/#term-analogy" TargetMode="External"/><Relationship Id="rId49" Type="http://schemas.openxmlformats.org/officeDocument/2006/relationships/hyperlink" Target="https://participation-6o4.pages.dev/glossary/#term-communion" TargetMode="External"/><Relationship Id="rId24" Type="http://schemas.openxmlformats.org/officeDocument/2006/relationships/hyperlink" Target="https://participation-6o4.pages.dev/glossary/#term-constitution" TargetMode="External"/><Relationship Id="rId101" Type="http://schemas.openxmlformats.org/officeDocument/2006/relationships/hyperlink" Target="https://participation-6o4.pages.dev/glossary/#term-contingency" TargetMode="External"/><Relationship Id="rId51" Type="http://schemas.openxmlformats.org/officeDocument/2006/relationships/hyperlink" Target="https://participation-6o4.pages.dev/glossary/#term-countermodel-deletion" TargetMode="External"/><Relationship Id="rId22" Type="http://schemas.openxmlformats.org/officeDocument/2006/relationships/hyperlink" Target="https://participation-6o4.pages.dev/glossary/#term-determination" TargetMode="External"/><Relationship Id="rId83" Type="http://schemas.openxmlformats.org/officeDocument/2006/relationships/hyperlink" Target="https://participation-6o4.pages.dev/glossary/#term-disclosure" TargetMode="External"/><Relationship Id="rId34" Type="http://schemas.openxmlformats.org/officeDocument/2006/relationships/hyperlink" Target="https://participation-6o4.pages.dev/glossary/#term-divine-concurrence" TargetMode="External"/><Relationship Id="rId40" Type="http://schemas.openxmlformats.org/officeDocument/2006/relationships/hyperlink" Target="https://participation-6o4.pages.dev/glossary/#term-efficacy" TargetMode="External"/><Relationship Id="rId89" Type="http://schemas.openxmlformats.org/officeDocument/2006/relationships/hyperlink" Target="https://participation-6o4.pages.dev/glossary/#term-epektasis" TargetMode="External"/><Relationship Id="rId43" Type="http://schemas.openxmlformats.org/officeDocument/2006/relationships/hyperlink" Target="https://participation-6o4.pages.dev/glossary/#term-epistemic-warrant" TargetMode="External"/><Relationship Id="rId100" Type="http://schemas.openxmlformats.org/officeDocument/2006/relationships/hyperlink" Target="https://participation-6o4.pages.dev/glossary/#term-exemplarism" TargetMode="External"/><Relationship Id="rId21" Type="http://schemas.openxmlformats.org/officeDocument/2006/relationships/hyperlink" Target="https://participation-6o4.pages.dev/glossary/#term-explanation" TargetMode="External"/><Relationship Id="rId42" Type="http://schemas.openxmlformats.org/officeDocument/2006/relationships/hyperlink" Target="https://participation-6o4.pages.dev/glossary/#term-factivity" TargetMode="External"/><Relationship Id="rId48" Type="http://schemas.openxmlformats.org/officeDocument/2006/relationships/hyperlink" Target="https://participation-6o4.pages.dev/glossary/#term-finite-good-conditions" TargetMode="External"/><Relationship Id="rId94" Type="http://schemas.openxmlformats.org/officeDocument/2006/relationships/hyperlink" Target="https://participation-6o4.pages.dev/glossary/#term-fulfillment" TargetMode="External"/><Relationship Id="rId106" Type="http://schemas.openxmlformats.org/officeDocument/2006/relationships/hyperlink" Target="https://participation-6o4.pages.dev/glossary/#term-grace" TargetMode="External"/><Relationship Id="rId110" Type="http://schemas.openxmlformats.org/officeDocument/2006/relationships/hyperlink" Target="https://participation-6o4.pages.dev/glossary/#term-hypostatic-union" TargetMode="External"/><Relationship Id="rId39" Type="http://schemas.openxmlformats.org/officeDocument/2006/relationships/hyperlink" Target="https://participation-6o4.pages.dev/glossary/#term-intentionality" TargetMode="External"/><Relationship Id="rId70" Type="http://schemas.openxmlformats.org/officeDocument/2006/relationships/hyperlink" Target="https://participation-6o4.pages.dev/glossary/#term-intrinsic-actuality" TargetMode="External"/><Relationship Id="rId25" Type="http://schemas.openxmlformats.org/officeDocument/2006/relationships/hyperlink" Target="https://participation-6o4.pages.dev/glossary/#term-intrinsic-extrinsic" TargetMode="External"/><Relationship Id="rId38" Type="http://schemas.openxmlformats.org/officeDocument/2006/relationships/hyperlink" Target="https://participation-6o4.pages.dev/glossary/#term-intrinsic-invariance" TargetMode="External"/><Relationship Id="rId104" Type="http://schemas.openxmlformats.org/officeDocument/2006/relationships/hyperlink" Target="https://participation-6o4.pages.dev/glossary/#term-justification" TargetMode="External"/><Relationship Id="rId86" Type="http://schemas.openxmlformats.org/officeDocument/2006/relationships/hyperlink" Target="https://participation-6o4.pages.dev/glossary/#term-logoi-rationes" TargetMode="External"/><Relationship Id="rId82" Type="http://schemas.openxmlformats.org/officeDocument/2006/relationships/hyperlink" Target="https://participation-6o4.pages.dev/glossary/#term-manifestation" TargetMode="External"/><Relationship Id="rId31" Type="http://schemas.openxmlformats.org/officeDocument/2006/relationships/hyperlink" Target="https://participation-6o4.pages.dev/glossary/#term-measure-mode" TargetMode="External"/><Relationship Id="rId52" Type="http://schemas.openxmlformats.org/officeDocument/2006/relationships/hyperlink" Target="https://participation-6o4.pages.dev/glossary/#term-mixed-relations" TargetMode="External"/><Relationship Id="rId69" Type="http://schemas.openxmlformats.org/officeDocument/2006/relationships/hyperlink" Target="https://participation-6o4.pages.dev/glossary/#term-modal-collapse" TargetMode="External"/><Relationship Id="rId37" Type="http://schemas.openxmlformats.org/officeDocument/2006/relationships/hyperlink" Target="https://participation-6o4.pages.dev/glossary/#term-modality" TargetMode="External"/><Relationship Id="rId36" Type="http://schemas.openxmlformats.org/officeDocument/2006/relationships/hyperlink" Target="https://participation-6o4.pages.dev/glossary/#term-necessary-emanation" TargetMode="External"/><Relationship Id="rId35" Type="http://schemas.openxmlformats.org/officeDocument/2006/relationships/hyperlink" Target="https://participation-6o4.pages.dev/glossary/#term-noncompetitive-causality" TargetMode="External"/><Relationship Id="rId60" Type="http://schemas.openxmlformats.org/officeDocument/2006/relationships/hyperlink" Target="https://participation-6o4.pages.dev/glossary/#term-nonexhaustion" TargetMode="External"/><Relationship Id="rId97" Type="http://schemas.openxmlformats.org/officeDocument/2006/relationships/hyperlink" Target="https://participation-6o4.pages.dev/glossary/#term-ontology-and-metaphysics" TargetMode="External"/><Relationship Id="rId30" Type="http://schemas.openxmlformats.org/officeDocument/2006/relationships/hyperlink" Target="https://participation-6o4.pages.dev/glossary/#term-participation" TargetMode="External"/><Relationship Id="rId46" Type="http://schemas.openxmlformats.org/officeDocument/2006/relationships/hyperlink" Target="https://participation-6o4.pages.dev/glossary/#term-plenitude" TargetMode="External"/><Relationship Id="rId109" Type="http://schemas.openxmlformats.org/officeDocument/2006/relationships/hyperlink" Target="https://participation-6o4.pages.dev/glossary/#term-predication" TargetMode="External"/><Relationship Id="rId50" Type="http://schemas.openxmlformats.org/officeDocument/2006/relationships/hyperlink" Target="https://participation-6o4.pages.dev/glossary/#term-primitive" TargetMode="External"/><Relationship Id="rId47" Type="http://schemas.openxmlformats.org/officeDocument/2006/relationships/hyperlink" Target="https://participation-6o4.pages.dev/glossary/#term-privation" TargetMode="External"/><Relationship Id="rId66" Type="http://schemas.openxmlformats.org/officeDocument/2006/relationships/hyperlink" Target="https://participation-6o4.pages.dev/glossary/#term-productive-causation" TargetMode="External"/><Relationship Id="rId41" Type="http://schemas.openxmlformats.org/officeDocument/2006/relationships/hyperlink" Target="https://participation-6o4.pages.dev/glossary/#term-productive-knowledge" TargetMode="External"/><Relationship Id="rId53" Type="http://schemas.openxmlformats.org/officeDocument/2006/relationships/hyperlink" Target="https://participation-6o4.pages.dev/glossary/#term-pure-perfection" TargetMode="External"/><Relationship Id="rId26" Type="http://schemas.openxmlformats.org/officeDocument/2006/relationships/hyperlink" Target="https://participation-6o4.pages.dev/glossary/#term-real-distinction" TargetMode="External"/><Relationship Id="rId23" Type="http://schemas.openxmlformats.org/officeDocument/2006/relationships/hyperlink" Target="https://participation-6o4.pages.dev/glossary/#term-realization" TargetMode="External"/><Relationship Id="rId67" Type="http://schemas.openxmlformats.org/officeDocument/2006/relationships/hyperlink" Target="https://participation-6o4.pages.dev/glossary/#term-reasons" TargetMode="External"/><Relationship Id="rId29" Type="http://schemas.openxmlformats.org/officeDocument/2006/relationships/hyperlink" Target="https://participation-6o4.pages.dev/glossary/#term-reception" TargetMode="External"/><Relationship Id="rId44" Type="http://schemas.openxmlformats.org/officeDocument/2006/relationships/hyperlink" Target="https://participation-6o4.pages.dev/glossary/#term-relational-divine-action" TargetMode="External"/><Relationship Id="rId75" Type="http://schemas.openxmlformats.org/officeDocument/2006/relationships/hyperlink" Target="https://participation-6o4.pages.dev/glossary/#term-relations-of-origin" TargetMode="External"/><Relationship Id="rId33" Type="http://schemas.openxmlformats.org/officeDocument/2006/relationships/hyperlink" Target="https://participation-6o4.pages.dev/glossary/#term-secondary-causality" TargetMode="External"/><Relationship Id="rId62" Type="http://schemas.openxmlformats.org/officeDocument/2006/relationships/hyperlink" Target="https://participation-6o4.pages.dev/glossary/#term-sign" TargetMode="External"/><Relationship Id="rId32" Type="http://schemas.openxmlformats.org/officeDocument/2006/relationships/hyperlink" Target="https://participation-6o4.pages.dev/glossary/#term-theophany" TargetMode="External"/><Relationship Id="rId76" Type="http://schemas.openxmlformats.org/officeDocument/2006/relationships/hyperlink" Target="https://participation-6o4.pages.dev/glossary/#term-trinity" TargetMode="External"/><Relationship Id="rId28" Type="http://schemas.openxmlformats.org/officeDocument/2006/relationships/hyperlink" Target="https://participation-6o4.pages.dev/glossary/#term-truthmaking" TargetMode="External"/><Relationship Id="rId27" Type="http://schemas.openxmlformats.org/officeDocument/2006/relationships/hyperlink" Target="https://participation-6o4.pages.dev/glossary/#term-underivation" TargetMode="External"/><Relationship Id="rId45" Type="http://schemas.openxmlformats.org/officeDocument/2006/relationships/hyperlink" Target="https://participation-6o4.pages.dev/glossary/#term-unreceived-determinacy" TargetMode="External"/><Relationship Id="rId197" Type="http://schemas.openxmlformats.org/officeDocument/2006/relationships/hyperlink" Target="https://participation-6o4.pages.dev/human-person/" TargetMode="External"/><Relationship Id="rId430" Type="http://schemas.openxmlformats.org/officeDocument/2006/relationships/hyperlink" Target="https://participation-6o4.pages.dev/real-difference/" TargetMode="External"/><Relationship Id="rId121" Type="http://schemas.openxmlformats.org/officeDocument/2006/relationships/hyperlink" Target="https://participation-6o4.pages.dev/real-difference/#cases" TargetMode="External"/><Relationship Id="rId120" Type="http://schemas.openxmlformats.org/officeDocument/2006/relationships/hyperlink" Target="https://participation-6o4.pages.dev/real-difference/#exercise" TargetMode="External"/><Relationship Id="rId137" Type="http://schemas.openxmlformats.org/officeDocument/2006/relationships/hyperlink" Target="https://participation-6o4.pages.dev/real-difference/#finite-good" TargetMode="External"/><Relationship Id="rId129" Type="http://schemas.openxmlformats.org/officeDocument/2006/relationships/hyperlink" Target="https://participation-6o4.pages.dev/real-difference/#knowledge" TargetMode="External"/><Relationship Id="rId122" Type="http://schemas.openxmlformats.org/officeDocument/2006/relationships/hyperlink" Target="https://participation-6o4.pages.dev/real-difference/#stops" TargetMode="External"/><Relationship Id="rId138" Type="http://schemas.openxmlformats.org/officeDocument/2006/relationships/hyperlink" Target="https://participation-6o4.pages.dev/real-difference/#voices" TargetMode="External"/><Relationship Id="rId186" Type="http://schemas.openxmlformats.org/officeDocument/2006/relationships/hyperlink" Target="https://participation-6o4.pages.dev/research/reading-guide.md" TargetMode="External"/><Relationship Id="rId188" Type="http://schemas.openxmlformats.org/officeDocument/2006/relationships/hyperlink" Target="https://participation-6o4.pages.dev/research/real-difference-formal.md" TargetMode="External"/><Relationship Id="rId190" Type="http://schemas.openxmlformats.org/officeDocument/2006/relationships/hyperlink" Target="https://participation-6o4.pages.dev/research/real-difference-ledger.json" TargetMode="External"/><Relationship Id="rId187" Type="http://schemas.openxmlformats.org/officeDocument/2006/relationships/hyperlink" Target="https://participation-6o4.pages.dev/research/real-difference-report.md" TargetMode="External"/><Relationship Id="rId189" Type="http://schemas.openxmlformats.org/officeDocument/2006/relationships/hyperlink" Target="https://participation-6o4.pages.dev/research/real-difference-sources.md" TargetMode="External"/><Relationship Id="rId181" Type="http://schemas.openxmlformats.org/officeDocument/2006/relationships/hyperlink" Target="https://plato.stanford.edu/entries/augustine/" TargetMode="External"/><Relationship Id="rId77" Type="http://schemas.openxmlformats.org/officeDocument/2006/relationships/hyperlink" Target="https://plato.stanford.edu/entries/bonaventure/" TargetMode="External"/><Relationship Id="rId84" Type="http://schemas.openxmlformats.org/officeDocument/2006/relationships/hyperlink" Target="https://plato.stanford.edu/entries/scottus-eriugena/" TargetMode="External"/><Relationship Id="rId184" Type="http://schemas.openxmlformats.org/officeDocument/2006/relationships/hyperlink" Target="https://raw.githubusercontent.com/GITenberg/An-Essay-on-the-Development-of-Christian-Doctrine_35110/master/35110.txt" TargetMode="External"/><Relationship Id="rId172" Type="http://schemas.openxmlformats.org/officeDocument/2006/relationships/hyperlink" Target="https://raw.githubusercontent.com/GITenberg/Summa-Theologica-Part-I--Prima-Pars-From-the-Complete-American-Edition_17611/master/17611.txt" TargetMode="External"/><Relationship Id="rId161" Type="http://schemas.openxmlformats.org/officeDocument/2006/relationships/hyperlink" Target="https://raw.githubusercontent.com/jackransomlovell/popes/master/encyclicals_texts/Benedict%20XVI/Caritas%20in%20veritate%20%28June%2029%2C%202009%29%20%20BENEDICT%20XVI.txt" TargetMode="External"/><Relationship Id="rId164" Type="http://schemas.openxmlformats.org/officeDocument/2006/relationships/hyperlink" Target="https://raw.githubusercontent.com/jackransomlovell/popes/master/encyclicals_texts/Benedict%20XVI/Deus%20caritas%20est%20%28December%2025%2C%202005%29%20%20BENEDICT%20XVI.txt" TargetMode="External"/><Relationship Id="rId167" Type="http://schemas.openxmlformats.org/officeDocument/2006/relationships/hyperlink" Target="https://raw.githubusercontent.com/jackransomlovell/popes/master/encyclicals_texts/Benedict%20XVI/Spe%20salvi%20%28November%2030%2C%202007%29%20%20BENEDICT%20XVI.txt" TargetMode="External"/><Relationship Id="rId87" Type="http://schemas.openxmlformats.org/officeDocument/2006/relationships/hyperlink" Target="https://raw.githubusercontent.com/robertvsiii/maximus-confessor/5ef8d8b33bb7e16576f4b5445db7ee07541aff9f/texts/maximus/maximus_confessor.ambigua_iohannem.tess" TargetMode="External"/><Relationship Id="rId90" Type="http://schemas.openxmlformats.org/officeDocument/2006/relationships/hyperlink" Target="https://raw.githubusercontent.com/standardebooks/gregory-of-nyssa_on-the-making-of-man_william-moore_henry-austin-wilson/master/src/epub/text/chapter-16.xhtml" TargetMode="External"/><Relationship Id="rId200" Type="http://schemas.openxmlformats.org/officeDocument/2006/relationships/hyperlink" Target="https://robertdryer.pages.dev/divine-simplicity/questions/evil-suffering-and-hiddenness/" TargetMode="External"/><Relationship Id="rId199" Type="http://schemas.openxmlformats.org/officeDocument/2006/relationships/hyperlink" Target="https://robertdryer.pages.dev/divine-simplicity/questions/supported-creaturely-agency/" TargetMode="External"/><Relationship Id="rId55" Type="http://schemas.openxmlformats.org/officeDocument/2006/relationships/hyperlink" Target="https://robertdryer.pages.dev/search/" TargetMode="External"/><Relationship Id="rId203" Type="http://schemas.openxmlformats.org/officeDocument/2006/relationships/hyperlink" Target="https://robertdryer.pages.dev/writing/prayer-and-attention/" TargetMode="External"/><Relationship Id="rId202" Type="http://schemas.openxmlformats.org/officeDocument/2006/relationships/hyperlink" Target="https://robertdryer.pages.dev/writing/what-participation-means/" TargetMode="External"/><Relationship Id="rId169" Type="http://schemas.openxmlformats.org/officeDocument/2006/relationships/hyperlink" Target="https://www.communio-icr.com/articles/view/concerning-the-notion-of-person-in-theology" TargetMode="External"/><Relationship Id="rId183" Type="http://schemas.openxmlformats.org/officeDocument/2006/relationships/hyperlink" Target="https://www.gutenberg.org/ebooks/35110" TargetMode="External"/><Relationship Id="rId179" Type="http://schemas.openxmlformats.org/officeDocument/2006/relationships/hyperlink" Target="https://www.newadvent.org/fathers/110104.htm" TargetMode="External"/><Relationship Id="rId171" Type="http://schemas.openxmlformats.org/officeDocument/2006/relationships/hyperlink" Target="https://www.newadvent.org/summa/1003.htm#article7" TargetMode="External"/><Relationship Id="rId174" Type="http://schemas.openxmlformats.org/officeDocument/2006/relationships/hyperlink" Target="https://www.newadvent.org/summa/1014.htm" TargetMode="External"/><Relationship Id="rId98" Type="http://schemas.openxmlformats.org/officeDocument/2006/relationships/hyperlink" Target="https://www.newadvent.org/summa/1019.htm" TargetMode="External"/><Relationship Id="rId177" Type="http://schemas.openxmlformats.org/officeDocument/2006/relationships/hyperlink" Target="https://www.newadvent.org/summa/1045.htm#article3" TargetMode="External"/><Relationship Id="rId163" Type="http://schemas.openxmlformats.org/officeDocument/2006/relationships/hyperlink" Target="https://www.vatican.va/content/benedict-xvi/en/encyclicals/documents/hf_ben-xvi_enc_20051225_deus-caritas-est.html" TargetMode="External"/><Relationship Id="rId166" Type="http://schemas.openxmlformats.org/officeDocument/2006/relationships/hyperlink" Target="https://www.vatican.va/content/benedict-xvi/en/encyclicals/documents/hf_ben-xvi_enc_20071130_spe-salvi.html" TargetMode="External"/><Relationship Id="rId95" Type="http://schemas.openxmlformats.org/officeDocument/2006/relationships/hyperlink" Target="https://www.vatican.va/content/benedict-xvi/en/encyclicals/documents/hf_ben-xvi_enc_20090629_caritas-in-veritate.html"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143" Type="http://schemas.openxmlformats.org/officeDocument/2006/relationships/hyperlink" Target="https://ccel.org/ccel/rolt/dionysius/dionysius.iv.iii.html" TargetMode="External"/><Relationship Id="rId145" Type="http://schemas.openxmlformats.org/officeDocument/2006/relationships/hyperlink" Target="https://ccel.org/ccel/rolt/dionysius/dionysius.iv.vi.html" TargetMode="External"/><Relationship Id="rId80" Type="http://schemas.openxmlformats.org/officeDocument/2006/relationships/hyperlink" Target="https://ccel.org/ccel/rolt/dionysius/dionysius.iv.viii.html" TargetMode="External"/><Relationship Id="rId148" Type="http://schemas.openxmlformats.org/officeDocument/2006/relationships/hyperlink" Target="https://ccel.org/ccel/rolt/dionysius/dionysius.iv.x.html" TargetMode="External"/><Relationship Id="rId92" Type="http://schemas.openxmlformats.org/officeDocument/2006/relationships/hyperlink" Target="https://ccel.org/ccel/schaff/npnf207/npnf207.iii.xv.html" TargetMode="External"/><Relationship Id="rId191" Type="http://schemas.openxmlformats.org/officeDocument/2006/relationships/hyperlink" Target="https://doi.org/10.1177/00211400221144750" TargetMode="External"/><Relationship Id="rId58" Type="http://schemas.openxmlformats.org/officeDocument/2006/relationships/hyperlink" Target="https://participation-6o4.pages.dev/" TargetMode="External"/><Relationship Id="rId59" Type="http://schemas.openxmlformats.org/officeDocument/2006/relationships/hyperlink" Target="https://participation-6o4.pages.dev/beyond-participation/" TargetMode="External"/><Relationship Id="rId130" Type="http://schemas.openxmlformats.org/officeDocument/2006/relationships/hyperlink" Target="https://participation-6o4.pages.dev/beyond-participation/#knowledge" TargetMode="External"/><Relationship Id="rId54" Type="http://schemas.openxmlformats.org/officeDocument/2006/relationships/hyperlink" Target="https://participation-6o4.pages.dev/glossary/" TargetMode="External"/><Relationship Id="rId63" Type="http://schemas.openxmlformats.org/officeDocument/2006/relationships/hyperlink" Target="https://participation-6o4.pages.dev/glossary/#term-actuality" TargetMode="External"/><Relationship Id="rId20" Type="http://schemas.openxmlformats.org/officeDocument/2006/relationships/hyperlink" Target="https://participation-6o4.pages.dev/glossary/#term-agency" TargetMode="External"/><Relationship Id="rId79" Type="http://schemas.openxmlformats.org/officeDocument/2006/relationships/hyperlink" Target="https://participation-6o4.pages.dev/glossary/#term-analogy" TargetMode="External"/><Relationship Id="rId49" Type="http://schemas.openxmlformats.org/officeDocument/2006/relationships/hyperlink" Target="https://participation-6o4.pages.dev/glossary/#term-communion" TargetMode="External"/><Relationship Id="rId24" Type="http://schemas.openxmlformats.org/officeDocument/2006/relationships/hyperlink" Target="https://participation-6o4.pages.dev/glossary/#term-constitution" TargetMode="External"/><Relationship Id="rId101" Type="http://schemas.openxmlformats.org/officeDocument/2006/relationships/hyperlink" Target="https://participation-6o4.pages.dev/glossary/#term-contingency" TargetMode="External"/><Relationship Id="rId51" Type="http://schemas.openxmlformats.org/officeDocument/2006/relationships/hyperlink" Target="https://participation-6o4.pages.dev/glossary/#term-countermodel-deletion" TargetMode="External"/><Relationship Id="rId22" Type="http://schemas.openxmlformats.org/officeDocument/2006/relationships/hyperlink" Target="https://participation-6o4.pages.dev/glossary/#term-determination" TargetMode="External"/><Relationship Id="rId83" Type="http://schemas.openxmlformats.org/officeDocument/2006/relationships/hyperlink" Target="https://participation-6o4.pages.dev/glossary/#term-disclosure" TargetMode="External"/><Relationship Id="rId34" Type="http://schemas.openxmlformats.org/officeDocument/2006/relationships/hyperlink" Target="https://participation-6o4.pages.dev/glossary/#term-divine-concurrence" TargetMode="External"/><Relationship Id="rId40" Type="http://schemas.openxmlformats.org/officeDocument/2006/relationships/hyperlink" Target="https://participation-6o4.pages.dev/glossary/#term-efficacy" TargetMode="External"/><Relationship Id="rId89" Type="http://schemas.openxmlformats.org/officeDocument/2006/relationships/hyperlink" Target="https://participation-6o4.pages.dev/glossary/#term-epektasis" TargetMode="External"/><Relationship Id="rId43" Type="http://schemas.openxmlformats.org/officeDocument/2006/relationships/hyperlink" Target="https://participation-6o4.pages.dev/glossary/#term-epistemic-warrant" TargetMode="External"/><Relationship Id="rId100" Type="http://schemas.openxmlformats.org/officeDocument/2006/relationships/hyperlink" Target="https://participation-6o4.pages.dev/glossary/#term-exemplarism" TargetMode="External"/><Relationship Id="rId21" Type="http://schemas.openxmlformats.org/officeDocument/2006/relationships/hyperlink" Target="https://participation-6o4.pages.dev/glossary/#term-explanation" TargetMode="External"/><Relationship Id="rId42" Type="http://schemas.openxmlformats.org/officeDocument/2006/relationships/hyperlink" Target="https://participation-6o4.pages.dev/glossary/#term-factivity" TargetMode="External"/><Relationship Id="rId48" Type="http://schemas.openxmlformats.org/officeDocument/2006/relationships/hyperlink" Target="https://participation-6o4.pages.dev/glossary/#term-finite-good-conditions" TargetMode="External"/><Relationship Id="rId94" Type="http://schemas.openxmlformats.org/officeDocument/2006/relationships/hyperlink" Target="https://participation-6o4.pages.dev/glossary/#term-fulfillment" TargetMode="External"/><Relationship Id="rId106" Type="http://schemas.openxmlformats.org/officeDocument/2006/relationships/hyperlink" Target="https://participation-6o4.pages.dev/glossary/#term-grace" TargetMode="External"/><Relationship Id="rId110" Type="http://schemas.openxmlformats.org/officeDocument/2006/relationships/hyperlink" Target="https://participation-6o4.pages.dev/glossary/#term-hypostatic-union" TargetMode="External"/><Relationship Id="rId39" Type="http://schemas.openxmlformats.org/officeDocument/2006/relationships/hyperlink" Target="https://participation-6o4.pages.dev/glossary/#term-intentionality" TargetMode="External"/><Relationship Id="rId70" Type="http://schemas.openxmlformats.org/officeDocument/2006/relationships/hyperlink" Target="https://participation-6o4.pages.dev/glossary/#term-intrinsic-actuality" TargetMode="External"/><Relationship Id="rId25" Type="http://schemas.openxmlformats.org/officeDocument/2006/relationships/hyperlink" Target="https://participation-6o4.pages.dev/glossary/#term-intrinsic-extrinsic" TargetMode="External"/><Relationship Id="rId38" Type="http://schemas.openxmlformats.org/officeDocument/2006/relationships/hyperlink" Target="https://participation-6o4.pages.dev/glossary/#term-intrinsic-invariance" TargetMode="External"/><Relationship Id="rId104" Type="http://schemas.openxmlformats.org/officeDocument/2006/relationships/hyperlink" Target="https://participation-6o4.pages.dev/glossary/#term-justification" TargetMode="External"/><Relationship Id="rId86" Type="http://schemas.openxmlformats.org/officeDocument/2006/relationships/hyperlink" Target="https://participation-6o4.pages.dev/glossary/#term-logoi-rationes" TargetMode="External"/><Relationship Id="rId82" Type="http://schemas.openxmlformats.org/officeDocument/2006/relationships/hyperlink" Target="https://participation-6o4.pages.dev/glossary/#term-manifestation" TargetMode="External"/><Relationship Id="rId31" Type="http://schemas.openxmlformats.org/officeDocument/2006/relationships/hyperlink" Target="https://participation-6o4.pages.dev/glossary/#term-measure-mode" TargetMode="External"/><Relationship Id="rId52" Type="http://schemas.openxmlformats.org/officeDocument/2006/relationships/hyperlink" Target="https://participation-6o4.pages.dev/glossary/#term-mixed-relations" TargetMode="External"/><Relationship Id="rId69" Type="http://schemas.openxmlformats.org/officeDocument/2006/relationships/hyperlink" Target="https://participation-6o4.pages.dev/glossary/#term-modal-collapse" TargetMode="External"/><Relationship Id="rId37" Type="http://schemas.openxmlformats.org/officeDocument/2006/relationships/hyperlink" Target="https://participation-6o4.pages.dev/glossary/#term-modality" TargetMode="External"/><Relationship Id="rId36" Type="http://schemas.openxmlformats.org/officeDocument/2006/relationships/hyperlink" Target="https://participation-6o4.pages.dev/glossary/#term-necessary-emanation" TargetMode="External"/><Relationship Id="rId35" Type="http://schemas.openxmlformats.org/officeDocument/2006/relationships/hyperlink" Target="https://participation-6o4.pages.dev/glossary/#term-noncompetitive-causality" TargetMode="External"/><Relationship Id="rId60" Type="http://schemas.openxmlformats.org/officeDocument/2006/relationships/hyperlink" Target="https://participation-6o4.pages.dev/glossary/#term-nonexhaustion" TargetMode="External"/><Relationship Id="rId97" Type="http://schemas.openxmlformats.org/officeDocument/2006/relationships/hyperlink" Target="https://participation-6o4.pages.dev/glossary/#term-ontology-and-metaphysics" TargetMode="External"/><Relationship Id="rId30" Type="http://schemas.openxmlformats.org/officeDocument/2006/relationships/hyperlink" Target="https://participation-6o4.pages.dev/glossary/#term-participation" TargetMode="External"/><Relationship Id="rId46" Type="http://schemas.openxmlformats.org/officeDocument/2006/relationships/hyperlink" Target="https://participation-6o4.pages.dev/glossary/#term-plenitude" TargetMode="External"/><Relationship Id="rId109" Type="http://schemas.openxmlformats.org/officeDocument/2006/relationships/hyperlink" Target="https://participation-6o4.pages.dev/glossary/#term-predication" TargetMode="External"/><Relationship Id="rId50" Type="http://schemas.openxmlformats.org/officeDocument/2006/relationships/hyperlink" Target="https://participation-6o4.pages.dev/glossary/#term-primitive" TargetMode="External"/><Relationship Id="rId47" Type="http://schemas.openxmlformats.org/officeDocument/2006/relationships/hyperlink" Target="https://participation-6o4.pages.dev/glossary/#term-privation" TargetMode="External"/><Relationship Id="rId66" Type="http://schemas.openxmlformats.org/officeDocument/2006/relationships/hyperlink" Target="https://participation-6o4.pages.dev/glossary/#term-productive-causation" TargetMode="External"/><Relationship Id="rId41" Type="http://schemas.openxmlformats.org/officeDocument/2006/relationships/hyperlink" Target="https://participation-6o4.pages.dev/glossary/#term-productive-knowledge" TargetMode="External"/><Relationship Id="rId53" Type="http://schemas.openxmlformats.org/officeDocument/2006/relationships/hyperlink" Target="https://participation-6o4.pages.dev/glossary/#term-pure-perfection" TargetMode="External"/><Relationship Id="rId26" Type="http://schemas.openxmlformats.org/officeDocument/2006/relationships/hyperlink" Target="https://participation-6o4.pages.dev/glossary/#term-real-distinction" TargetMode="External"/><Relationship Id="rId23" Type="http://schemas.openxmlformats.org/officeDocument/2006/relationships/hyperlink" Target="https://participation-6o4.pages.dev/glossary/#term-realization" TargetMode="External"/><Relationship Id="rId67" Type="http://schemas.openxmlformats.org/officeDocument/2006/relationships/hyperlink" Target="https://participation-6o4.pages.dev/glossary/#term-reasons" TargetMode="External"/><Relationship Id="rId29" Type="http://schemas.openxmlformats.org/officeDocument/2006/relationships/hyperlink" Target="https://participation-6o4.pages.dev/glossary/#term-reception" TargetMode="External"/><Relationship Id="rId44" Type="http://schemas.openxmlformats.org/officeDocument/2006/relationships/hyperlink" Target="https://participation-6o4.pages.dev/glossary/#term-relational-divine-action" TargetMode="External"/><Relationship Id="rId75" Type="http://schemas.openxmlformats.org/officeDocument/2006/relationships/hyperlink" Target="https://participation-6o4.pages.dev/glossary/#term-relations-of-origin" TargetMode="External"/><Relationship Id="rId33" Type="http://schemas.openxmlformats.org/officeDocument/2006/relationships/hyperlink" Target="https://participation-6o4.pages.dev/glossary/#term-secondary-causality" TargetMode="External"/><Relationship Id="rId62" Type="http://schemas.openxmlformats.org/officeDocument/2006/relationships/hyperlink" Target="https://participation-6o4.pages.dev/glossary/#term-sign" TargetMode="External"/><Relationship Id="rId32" Type="http://schemas.openxmlformats.org/officeDocument/2006/relationships/hyperlink" Target="https://participation-6o4.pages.dev/glossary/#term-theophany" TargetMode="External"/><Relationship Id="rId76" Type="http://schemas.openxmlformats.org/officeDocument/2006/relationships/hyperlink" Target="https://participation-6o4.pages.dev/glossary/#term-trinity" TargetMode="External"/><Relationship Id="rId28" Type="http://schemas.openxmlformats.org/officeDocument/2006/relationships/hyperlink" Target="https://participation-6o4.pages.dev/glossary/#term-truthmaking" TargetMode="External"/><Relationship Id="rId27" Type="http://schemas.openxmlformats.org/officeDocument/2006/relationships/hyperlink" Target="https://participation-6o4.pages.dev/glossary/#term-underivation" TargetMode="External"/><Relationship Id="rId45" Type="http://schemas.openxmlformats.org/officeDocument/2006/relationships/hyperlink" Target="https://participation-6o4.pages.dev/glossary/#term-unreceived-determinacy" TargetMode="External"/><Relationship Id="rId197" Type="http://schemas.openxmlformats.org/officeDocument/2006/relationships/hyperlink" Target="https://participation-6o4.pages.dev/human-person/" TargetMode="External"/><Relationship Id="rId430" Type="http://schemas.openxmlformats.org/officeDocument/2006/relationships/hyperlink" Target="https://participation-6o4.pages.dev/real-difference/" TargetMode="External"/><Relationship Id="rId121" Type="http://schemas.openxmlformats.org/officeDocument/2006/relationships/hyperlink" Target="https://participation-6o4.pages.dev/real-difference/#cases" TargetMode="External"/><Relationship Id="rId120" Type="http://schemas.openxmlformats.org/officeDocument/2006/relationships/hyperlink" Target="https://participation-6o4.pages.dev/real-difference/#exercise" TargetMode="External"/><Relationship Id="rId137" Type="http://schemas.openxmlformats.org/officeDocument/2006/relationships/hyperlink" Target="https://participation-6o4.pages.dev/real-difference/#finite-good" TargetMode="External"/><Relationship Id="rId129" Type="http://schemas.openxmlformats.org/officeDocument/2006/relationships/hyperlink" Target="https://participation-6o4.pages.dev/real-difference/#knowledge" TargetMode="External"/><Relationship Id="rId122" Type="http://schemas.openxmlformats.org/officeDocument/2006/relationships/hyperlink" Target="https://participation-6o4.pages.dev/real-difference/#stops" TargetMode="External"/><Relationship Id="rId138" Type="http://schemas.openxmlformats.org/officeDocument/2006/relationships/hyperlink" Target="https://participation-6o4.pages.dev/real-difference/#voices" TargetMode="External"/><Relationship Id="rId186" Type="http://schemas.openxmlformats.org/officeDocument/2006/relationships/hyperlink" Target="https://participation-6o4.pages.dev/research/reading-guide.md" TargetMode="External"/><Relationship Id="rId188" Type="http://schemas.openxmlformats.org/officeDocument/2006/relationships/hyperlink" Target="https://participation-6o4.pages.dev/research/real-difference-formal.md" TargetMode="External"/><Relationship Id="rId190" Type="http://schemas.openxmlformats.org/officeDocument/2006/relationships/hyperlink" Target="https://participation-6o4.pages.dev/research/real-difference-ledger.json" TargetMode="External"/><Relationship Id="rId187" Type="http://schemas.openxmlformats.org/officeDocument/2006/relationships/hyperlink" Target="https://participation-6o4.pages.dev/research/real-difference-report.md" TargetMode="External"/><Relationship Id="rId189" Type="http://schemas.openxmlformats.org/officeDocument/2006/relationships/hyperlink" Target="https://participation-6o4.pages.dev/research/real-difference-sources.md" TargetMode="External"/><Relationship Id="rId181" Type="http://schemas.openxmlformats.org/officeDocument/2006/relationships/hyperlink" Target="https://plato.stanford.edu/entries/augustine/" TargetMode="External"/><Relationship Id="rId77" Type="http://schemas.openxmlformats.org/officeDocument/2006/relationships/hyperlink" Target="https://plato.stanford.edu/entries/bonaventure/" TargetMode="External"/><Relationship Id="rId84" Type="http://schemas.openxmlformats.org/officeDocument/2006/relationships/hyperlink" Target="https://plato.stanford.edu/entries/scottus-eriugena/" TargetMode="External"/><Relationship Id="rId184" Type="http://schemas.openxmlformats.org/officeDocument/2006/relationships/hyperlink" Target="https://raw.githubusercontent.com/GITenberg/An-Essay-on-the-Development-of-Christian-Doctrine_35110/master/35110.txt" TargetMode="External"/><Relationship Id="rId172" Type="http://schemas.openxmlformats.org/officeDocument/2006/relationships/hyperlink" Target="https://raw.githubusercontent.com/GITenberg/Summa-Theologica-Part-I--Prima-Pars-From-the-Complete-American-Edition_17611/master/17611.txt" TargetMode="External"/><Relationship Id="rId161" Type="http://schemas.openxmlformats.org/officeDocument/2006/relationships/hyperlink" Target="https://raw.githubusercontent.com/jackransomlovell/popes/master/encyclicals_texts/Benedict%20XVI/Caritas%20in%20veritate%20%28June%2029%2C%202009%29%20%20BENEDICT%20XVI.txt" TargetMode="External"/><Relationship Id="rId164" Type="http://schemas.openxmlformats.org/officeDocument/2006/relationships/hyperlink" Target="https://raw.githubusercontent.com/jackransomlovell/popes/master/encyclicals_texts/Benedict%20XVI/Deus%20caritas%20est%20%28December%2025%2C%202005%29%20%20BENEDICT%20XVI.txt" TargetMode="External"/><Relationship Id="rId167" Type="http://schemas.openxmlformats.org/officeDocument/2006/relationships/hyperlink" Target="https://raw.githubusercontent.com/jackransomlovell/popes/master/encyclicals_texts/Benedict%20XVI/Spe%20salvi%20%28November%2030%2C%202007%29%20%20BENEDICT%20XVI.txt" TargetMode="External"/><Relationship Id="rId87" Type="http://schemas.openxmlformats.org/officeDocument/2006/relationships/hyperlink" Target="https://raw.githubusercontent.com/robertvsiii/maximus-confessor/5ef8d8b33bb7e16576f4b5445db7ee07541aff9f/texts/maximus/maximus_confessor.ambigua_iohannem.tess" TargetMode="External"/><Relationship Id="rId90" Type="http://schemas.openxmlformats.org/officeDocument/2006/relationships/hyperlink" Target="https://raw.githubusercontent.com/standardebooks/gregory-of-nyssa_on-the-making-of-man_william-moore_henry-austin-wilson/master/src/epub/text/chapter-16.xhtml" TargetMode="External"/><Relationship Id="rId200" Type="http://schemas.openxmlformats.org/officeDocument/2006/relationships/hyperlink" Target="https://robertdryer.pages.dev/divine-simplicity/questions/evil-suffering-and-hiddenness/" TargetMode="External"/><Relationship Id="rId199" Type="http://schemas.openxmlformats.org/officeDocument/2006/relationships/hyperlink" Target="https://robertdryer.pages.dev/divine-simplicity/questions/supported-creaturely-agency/" TargetMode="External"/><Relationship Id="rId55" Type="http://schemas.openxmlformats.org/officeDocument/2006/relationships/hyperlink" Target="https://robertdryer.pages.dev/search/" TargetMode="External"/><Relationship Id="rId203" Type="http://schemas.openxmlformats.org/officeDocument/2006/relationships/hyperlink" Target="https://robertdryer.pages.dev/writing/prayer-and-attention/" TargetMode="External"/><Relationship Id="rId202" Type="http://schemas.openxmlformats.org/officeDocument/2006/relationships/hyperlink" Target="https://robertdryer.pages.dev/writing/what-participation-means/" TargetMode="External"/><Relationship Id="rId169" Type="http://schemas.openxmlformats.org/officeDocument/2006/relationships/hyperlink" Target="https://www.communio-icr.com/articles/view/concerning-the-notion-of-person-in-theology" TargetMode="External"/><Relationship Id="rId183" Type="http://schemas.openxmlformats.org/officeDocument/2006/relationships/hyperlink" Target="https://www.gutenberg.org/ebooks/35110" TargetMode="External"/><Relationship Id="rId179" Type="http://schemas.openxmlformats.org/officeDocument/2006/relationships/hyperlink" Target="https://www.newadvent.org/fathers/110104.htm" TargetMode="External"/><Relationship Id="rId171" Type="http://schemas.openxmlformats.org/officeDocument/2006/relationships/hyperlink" Target="https://www.newadvent.org/summa/1003.htm#article7" TargetMode="External"/><Relationship Id="rId174" Type="http://schemas.openxmlformats.org/officeDocument/2006/relationships/hyperlink" Target="https://www.newadvent.org/summa/1014.htm" TargetMode="External"/><Relationship Id="rId98" Type="http://schemas.openxmlformats.org/officeDocument/2006/relationships/hyperlink" Target="https://www.newadvent.org/summa/1019.htm" TargetMode="External"/><Relationship Id="rId177" Type="http://schemas.openxmlformats.org/officeDocument/2006/relationships/hyperlink" Target="https://www.newadvent.org/summa/1045.htm#article3" TargetMode="External"/><Relationship Id="rId163" Type="http://schemas.openxmlformats.org/officeDocument/2006/relationships/hyperlink" Target="https://www.vatican.va/content/benedict-xvi/en/encyclicals/documents/hf_ben-xvi_enc_20051225_deus-caritas-est.html" TargetMode="External"/><Relationship Id="rId166" Type="http://schemas.openxmlformats.org/officeDocument/2006/relationships/hyperlink" Target="https://www.vatican.va/content/benedict-xvi/en/encyclicals/documents/hf_ben-xvi_enc_20071130_spe-salvi.html" TargetMode="External"/><Relationship Id="rId95" Type="http://schemas.openxmlformats.org/officeDocument/2006/relationships/hyperlink" Target="https://www.vatican.va/content/benedict-xvi/en/encyclicals/documents/hf_ben-xvi_enc_20090629_caritas-in-veritat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Divine Agency: Simplicity and Free Creation</dc:title>
  <dc:creator>Participation research atlas</dc:creator>
  <dc:language>en-US</dc:language>
  <cp:keywords>participation; divine agency; simplicity; free creation; complete backup</cp:keywords>
  <dcterms:created xsi:type="dcterms:W3CDTF">2026-10-17T19:55:45Z</dcterms:created>
  <dcterms:modified xsi:type="dcterms:W3CDTF">2026-10-17T19:55:45Z</dcterms:modified>
  <dc:subject>Complete backup of the website, interactive examples, and supporting research</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17, 2026</vt:lpwstr>
  </property>
  <property fmtid="{D5CDD505-2E9C-101B-9397-08002B2CF9AE}" pid="3" name="subtitle">
    <vt:lpwstr>Simplicity and Free Creation | Complete website backup</vt:lpwstr>
  </property>
</Properties>
</file>